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49FBE" w14:textId="5C44D0C2" w:rsidR="00997DA5" w:rsidRDefault="00ED3A7B" w:rsidP="00997DA5">
      <w:pPr>
        <w:pStyle w:val="Title"/>
        <w:spacing w:before="0" w:after="240"/>
        <w:jc w:val="left"/>
        <w:outlineLvl w:val="9"/>
        <w:rPr>
          <w:color w:val="E36C0A" w:themeColor="accent6" w:themeShade="BF"/>
        </w:rPr>
      </w:pPr>
      <w:r>
        <w:rPr>
          <w:color w:val="E36C0A" w:themeColor="accent6" w:themeShade="BF"/>
        </w:rPr>
        <w:t>APPENDIX </w:t>
      </w:r>
      <w:bookmarkStart w:id="0" w:name="_GoBack"/>
      <w:bookmarkEnd w:id="0"/>
      <w:r w:rsidR="00997DA5" w:rsidRPr="00AE091A">
        <w:rPr>
          <w:color w:val="E36C0A" w:themeColor="accent6" w:themeShade="BF"/>
        </w:rPr>
        <w:t>A</w:t>
      </w:r>
    </w:p>
    <w:p w14:paraId="65111AA8" w14:textId="014AD80C" w:rsidR="00997DA5" w:rsidRPr="005E2C93" w:rsidRDefault="00997DA5" w:rsidP="00997DA5">
      <w:pPr>
        <w:pStyle w:val="Heading3"/>
        <w:numPr>
          <w:ilvl w:val="0"/>
          <w:numId w:val="0"/>
        </w:numPr>
        <w:rPr>
          <w:rFonts w:cs="Times New Roman"/>
          <w:b w:val="0"/>
          <w:bCs w:val="0"/>
          <w:sz w:val="22"/>
          <w:szCs w:val="22"/>
        </w:rPr>
      </w:pPr>
      <w:bookmarkStart w:id="1" w:name="_Toc6994228"/>
      <w:bookmarkStart w:id="2" w:name="_Toc9334168"/>
      <w:bookmarkStart w:id="3" w:name="_Toc9334220"/>
      <w:r w:rsidRPr="005E2C93">
        <w:rPr>
          <w:rFonts w:cs="Times New Roman"/>
          <w:b w:val="0"/>
          <w:bCs w:val="0"/>
          <w:sz w:val="22"/>
          <w:szCs w:val="22"/>
        </w:rPr>
        <w:t>The</w:t>
      </w:r>
      <w:r>
        <w:rPr>
          <w:rFonts w:cs="Times New Roman"/>
          <w:b w:val="0"/>
          <w:bCs w:val="0"/>
          <w:sz w:val="22"/>
          <w:szCs w:val="22"/>
        </w:rPr>
        <w:t xml:space="preserve"> accounting and taxation treatment by the ATO differs for some key transactions. The accounting profit model adopts the accounting treatment by default with a few minor exceptions. The below table summarises differences between accounting and taxation treatments of certain transactions, and outlines which option should be adopted under the accounting profit model.</w:t>
      </w:r>
      <w:bookmarkEnd w:id="1"/>
      <w:bookmarkEnd w:id="2"/>
      <w:bookmarkEnd w:id="3"/>
    </w:p>
    <w:p w14:paraId="5C3888AE" w14:textId="77777777" w:rsidR="00997DA5" w:rsidRPr="00AE091A" w:rsidRDefault="00997DA5" w:rsidP="00997DA5">
      <w:pPr>
        <w:pStyle w:val="Heading3"/>
        <w:numPr>
          <w:ilvl w:val="0"/>
          <w:numId w:val="0"/>
        </w:numPr>
      </w:pPr>
      <w:bookmarkStart w:id="4" w:name="_Toc6994229"/>
      <w:bookmarkStart w:id="5" w:name="_Toc9334169"/>
      <w:bookmarkStart w:id="6" w:name="_Toc9334221"/>
      <w:r>
        <w:t>Examples: Accounting and taxation treatment of transactions</w:t>
      </w:r>
      <w:bookmarkEnd w:id="4"/>
      <w:bookmarkEnd w:id="5"/>
      <w:bookmarkEnd w:id="6"/>
    </w:p>
    <w:tbl>
      <w:tblPr>
        <w:tblStyle w:val="TableGridLight"/>
        <w:tblW w:w="10485" w:type="dxa"/>
        <w:tblLook w:val="00A0" w:firstRow="1" w:lastRow="0" w:firstColumn="1" w:lastColumn="0" w:noHBand="0" w:noVBand="0"/>
      </w:tblPr>
      <w:tblGrid>
        <w:gridCol w:w="2830"/>
        <w:gridCol w:w="2977"/>
        <w:gridCol w:w="2835"/>
        <w:gridCol w:w="1843"/>
      </w:tblGrid>
      <w:tr w:rsidR="00997DA5" w:rsidRPr="00AE091A" w14:paraId="2942C4B7" w14:textId="77777777" w:rsidTr="00AD7252">
        <w:trPr>
          <w:tblHeader/>
        </w:trPr>
        <w:tc>
          <w:tcPr>
            <w:tcW w:w="2830" w:type="dxa"/>
            <w:shd w:val="clear" w:color="auto" w:fill="000000" w:themeFill="text1"/>
          </w:tcPr>
          <w:p w14:paraId="7FE05964" w14:textId="77777777" w:rsidR="00997DA5" w:rsidRPr="00AE091A" w:rsidRDefault="00997DA5" w:rsidP="00ED3A7B">
            <w:pPr>
              <w:spacing w:before="120" w:after="120"/>
              <w:rPr>
                <w:rFonts w:cs="Arial"/>
                <w:b/>
              </w:rPr>
            </w:pPr>
            <w:r w:rsidRPr="00AE091A">
              <w:rPr>
                <w:rFonts w:cs="Arial"/>
                <w:b/>
              </w:rPr>
              <w:t>Transaction/</w:t>
            </w:r>
            <w:r>
              <w:rPr>
                <w:rFonts w:cs="Arial"/>
                <w:b/>
              </w:rPr>
              <w:t>e</w:t>
            </w:r>
            <w:r w:rsidRPr="00AE091A">
              <w:rPr>
                <w:rFonts w:cs="Arial"/>
                <w:b/>
              </w:rPr>
              <w:t>vent</w:t>
            </w:r>
          </w:p>
        </w:tc>
        <w:tc>
          <w:tcPr>
            <w:tcW w:w="2977" w:type="dxa"/>
            <w:shd w:val="clear" w:color="auto" w:fill="000000" w:themeFill="text1"/>
          </w:tcPr>
          <w:p w14:paraId="5CD25DE4" w14:textId="77777777" w:rsidR="00997DA5" w:rsidRPr="00AE091A" w:rsidRDefault="00997DA5" w:rsidP="00ED3A7B">
            <w:pPr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Accounting t</w:t>
            </w:r>
            <w:r w:rsidRPr="00AE091A">
              <w:rPr>
                <w:rFonts w:cs="Arial"/>
                <w:b/>
              </w:rPr>
              <w:t>reatment</w:t>
            </w:r>
          </w:p>
        </w:tc>
        <w:tc>
          <w:tcPr>
            <w:tcW w:w="2835" w:type="dxa"/>
            <w:shd w:val="clear" w:color="auto" w:fill="000000" w:themeFill="text1"/>
          </w:tcPr>
          <w:p w14:paraId="0D68EABE" w14:textId="77777777" w:rsidR="00997DA5" w:rsidRPr="00AE091A" w:rsidRDefault="00997DA5" w:rsidP="00ED3A7B">
            <w:pPr>
              <w:spacing w:before="120" w:after="120"/>
              <w:rPr>
                <w:rFonts w:cs="Arial"/>
                <w:b/>
              </w:rPr>
            </w:pPr>
            <w:r w:rsidRPr="00AE091A">
              <w:rPr>
                <w:rFonts w:cs="Arial"/>
                <w:b/>
              </w:rPr>
              <w:t xml:space="preserve">Taxation treatment </w:t>
            </w:r>
          </w:p>
        </w:tc>
        <w:tc>
          <w:tcPr>
            <w:tcW w:w="1843" w:type="dxa"/>
            <w:shd w:val="clear" w:color="auto" w:fill="000000" w:themeFill="text1"/>
          </w:tcPr>
          <w:p w14:paraId="0D02389E" w14:textId="77777777" w:rsidR="00997DA5" w:rsidRPr="00AE091A" w:rsidRDefault="00997DA5" w:rsidP="00ED3A7B">
            <w:pPr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Treatment adopted under accounting profit model</w:t>
            </w:r>
          </w:p>
        </w:tc>
      </w:tr>
      <w:tr w:rsidR="00997DA5" w:rsidRPr="002428D7" w14:paraId="6FBF20A7" w14:textId="77777777" w:rsidTr="00AD7252">
        <w:tc>
          <w:tcPr>
            <w:tcW w:w="2830" w:type="dxa"/>
          </w:tcPr>
          <w:p w14:paraId="2EA35804" w14:textId="05B8F9E8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Annual leave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/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sick</w:t>
            </w:r>
            <w:r w:rsidR="00ED3A7B">
              <w:rPr>
                <w:rFonts w:cs="Arial"/>
              </w:rPr>
              <w:t xml:space="preserve"> leave </w:t>
            </w:r>
            <w:r w:rsidRPr="002428D7">
              <w:rPr>
                <w:rFonts w:cs="Arial"/>
              </w:rPr>
              <w:t>/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long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service leave</w:t>
            </w:r>
          </w:p>
        </w:tc>
        <w:tc>
          <w:tcPr>
            <w:tcW w:w="2977" w:type="dxa"/>
          </w:tcPr>
          <w:p w14:paraId="4B745556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Provis</w:t>
            </w:r>
            <w:r>
              <w:rPr>
                <w:rFonts w:cs="Arial"/>
              </w:rPr>
              <w:t xml:space="preserve">ion raised and expense recorded </w:t>
            </w:r>
            <w:r w:rsidRPr="002428D7">
              <w:rPr>
                <w:rFonts w:cs="Arial"/>
              </w:rPr>
              <w:t>when the debt is owing to staff</w:t>
            </w:r>
          </w:p>
        </w:tc>
        <w:tc>
          <w:tcPr>
            <w:tcW w:w="2835" w:type="dxa"/>
          </w:tcPr>
          <w:p w14:paraId="48FAB3CF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Recog</w:t>
            </w:r>
            <w:r>
              <w:rPr>
                <w:rFonts w:cs="Arial"/>
              </w:rPr>
              <w:t xml:space="preserve">nised as an allowable deduction </w:t>
            </w:r>
            <w:r w:rsidRPr="002428D7">
              <w:rPr>
                <w:rFonts w:cs="Arial"/>
              </w:rPr>
              <w:t>when paid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4D0F7CC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412C83" w14:paraId="2322243C" w14:textId="77777777" w:rsidTr="00AD7252">
        <w:tc>
          <w:tcPr>
            <w:tcW w:w="2830" w:type="dxa"/>
          </w:tcPr>
          <w:p w14:paraId="125494D1" w14:textId="77777777" w:rsidR="00997DA5" w:rsidRPr="00412C83" w:rsidRDefault="00997DA5" w:rsidP="00ED3A7B">
            <w:pPr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Audit fee accruals</w:t>
            </w:r>
          </w:p>
        </w:tc>
        <w:tc>
          <w:tcPr>
            <w:tcW w:w="2977" w:type="dxa"/>
          </w:tcPr>
          <w:p w14:paraId="51DDCA00" w14:textId="77777777" w:rsidR="00997DA5" w:rsidRPr="00412C83" w:rsidRDefault="00997DA5" w:rsidP="00ED3A7B">
            <w:pPr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Recognised as an expense at year end</w:t>
            </w:r>
          </w:p>
        </w:tc>
        <w:tc>
          <w:tcPr>
            <w:tcW w:w="2835" w:type="dxa"/>
          </w:tcPr>
          <w:p w14:paraId="449B450E" w14:textId="77777777" w:rsidR="00997DA5" w:rsidRPr="00412C83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Recognised as an allowable deduction when paid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508E0" w14:textId="77777777" w:rsidR="00997DA5" w:rsidRPr="00412C83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Accounting treatment</w:t>
            </w:r>
          </w:p>
        </w:tc>
      </w:tr>
      <w:tr w:rsidR="00997DA5" w:rsidRPr="002428D7" w14:paraId="5058F5A7" w14:textId="77777777" w:rsidTr="00AD7252">
        <w:tc>
          <w:tcPr>
            <w:tcW w:w="2830" w:type="dxa"/>
          </w:tcPr>
          <w:p w14:paraId="6FD4E7BD" w14:textId="77777777" w:rsidR="00997DA5" w:rsidRPr="00412C83" w:rsidRDefault="00997DA5" w:rsidP="00ED3A7B">
            <w:pPr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Other accrued expenses</w:t>
            </w:r>
          </w:p>
        </w:tc>
        <w:tc>
          <w:tcPr>
            <w:tcW w:w="2977" w:type="dxa"/>
          </w:tcPr>
          <w:p w14:paraId="55CB249C" w14:textId="77777777" w:rsidR="00997DA5" w:rsidRPr="00412C83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Recognised as an expense at year end</w:t>
            </w:r>
          </w:p>
        </w:tc>
        <w:tc>
          <w:tcPr>
            <w:tcW w:w="2835" w:type="dxa"/>
          </w:tcPr>
          <w:p w14:paraId="6D4864B0" w14:textId="77777777" w:rsidR="00997DA5" w:rsidRPr="00412C83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Recognised as an allowable deduction when there is</w:t>
            </w:r>
            <w:r>
              <w:rPr>
                <w:rFonts w:cs="Arial"/>
              </w:rPr>
              <w:t xml:space="preserve"> an existing financial</w:t>
            </w:r>
            <w:r w:rsidRPr="00412C83">
              <w:rPr>
                <w:rFonts w:cs="Arial"/>
              </w:rPr>
              <w:t xml:space="preserve"> liability in accordance</w:t>
            </w:r>
            <w:r>
              <w:rPr>
                <w:rFonts w:cs="Arial"/>
              </w:rPr>
              <w:t xml:space="preserve"> with tax r</w:t>
            </w:r>
            <w:r w:rsidRPr="00412C83">
              <w:rPr>
                <w:rFonts w:cs="Arial"/>
              </w:rPr>
              <w:t>uling TR 97/7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02897EC" w14:textId="2DA5FCAA" w:rsidR="00997DA5" w:rsidRPr="004264A4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412C83">
              <w:rPr>
                <w:rFonts w:cs="Arial"/>
              </w:rPr>
              <w:t>Accounting treatment</w:t>
            </w:r>
          </w:p>
        </w:tc>
      </w:tr>
      <w:tr w:rsidR="00997DA5" w:rsidRPr="002428D7" w14:paraId="6075A319" w14:textId="77777777" w:rsidTr="00AD7252">
        <w:tc>
          <w:tcPr>
            <w:tcW w:w="2830" w:type="dxa"/>
          </w:tcPr>
          <w:p w14:paraId="7FD4D4FE" w14:textId="77777777" w:rsidR="00997DA5" w:rsidRPr="002428D7" w:rsidRDefault="00997DA5" w:rsidP="00ED3A7B">
            <w:pPr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Doubtful debt</w:t>
            </w:r>
            <w:r>
              <w:rPr>
                <w:rFonts w:cs="Arial"/>
              </w:rPr>
              <w:t>s expense</w:t>
            </w:r>
          </w:p>
        </w:tc>
        <w:tc>
          <w:tcPr>
            <w:tcW w:w="2977" w:type="dxa"/>
          </w:tcPr>
          <w:p w14:paraId="22FBFF7F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Provision raised and expense</w:t>
            </w:r>
            <w:r>
              <w:rPr>
                <w:rFonts w:cs="Arial"/>
              </w:rPr>
              <w:t xml:space="preserve"> recorded at year end when the debt is </w:t>
            </w:r>
            <w:r w:rsidRPr="002428D7">
              <w:rPr>
                <w:rFonts w:cs="Arial"/>
              </w:rPr>
              <w:t>considered doubtful</w:t>
            </w:r>
          </w:p>
        </w:tc>
        <w:tc>
          <w:tcPr>
            <w:tcW w:w="2835" w:type="dxa"/>
          </w:tcPr>
          <w:p w14:paraId="38858247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Not recognised as an allowable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deduction until the debt is physically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written off</w:t>
            </w:r>
            <w:r>
              <w:rPr>
                <w:rFonts w:cs="Arial"/>
              </w:rPr>
              <w:t xml:space="preserve"> (bad debt)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4E3C125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3059C20D" w14:textId="77777777" w:rsidTr="00AD7252">
        <w:tc>
          <w:tcPr>
            <w:tcW w:w="2830" w:type="dxa"/>
          </w:tcPr>
          <w:p w14:paraId="1BFEDD43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Depreciation of non-</w:t>
            </w:r>
            <w:r w:rsidRPr="002428D7">
              <w:rPr>
                <w:rFonts w:cs="Arial"/>
              </w:rPr>
              <w:t>current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assets</w:t>
            </w:r>
          </w:p>
        </w:tc>
        <w:tc>
          <w:tcPr>
            <w:tcW w:w="2977" w:type="dxa"/>
          </w:tcPr>
          <w:p w14:paraId="1B7B0B64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</w:t>
            </w:r>
            <w:r>
              <w:rPr>
                <w:rFonts w:cs="Arial"/>
              </w:rPr>
              <w:t xml:space="preserve">cognised as an expense based on </w:t>
            </w:r>
            <w:r w:rsidRPr="002428D7">
              <w:rPr>
                <w:rFonts w:cs="Arial"/>
              </w:rPr>
              <w:t>the estimated useful life of the asset</w:t>
            </w:r>
          </w:p>
        </w:tc>
        <w:tc>
          <w:tcPr>
            <w:tcW w:w="2835" w:type="dxa"/>
          </w:tcPr>
          <w:p w14:paraId="5A70A9B5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Recog</w:t>
            </w:r>
            <w:r>
              <w:rPr>
                <w:rFonts w:cs="Arial"/>
              </w:rPr>
              <w:t xml:space="preserve">nised as an allowable deduction </w:t>
            </w:r>
            <w:r w:rsidRPr="002428D7">
              <w:rPr>
                <w:rFonts w:cs="Arial"/>
              </w:rPr>
              <w:t>in accor</w:t>
            </w:r>
            <w:r>
              <w:rPr>
                <w:rFonts w:cs="Arial"/>
              </w:rPr>
              <w:t>dance with ATO determined effective life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F2B6F4E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6E3C916C" w14:textId="77777777" w:rsidTr="00AD7252">
        <w:tc>
          <w:tcPr>
            <w:tcW w:w="2830" w:type="dxa"/>
          </w:tcPr>
          <w:p w14:paraId="7E7647D5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Depreciation of </w:t>
            </w:r>
            <w:r w:rsidRPr="002428D7">
              <w:rPr>
                <w:rFonts w:cs="Arial"/>
              </w:rPr>
              <w:t>buildings</w:t>
            </w:r>
          </w:p>
        </w:tc>
        <w:tc>
          <w:tcPr>
            <w:tcW w:w="2977" w:type="dxa"/>
          </w:tcPr>
          <w:p w14:paraId="1AAEB1CA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</w:t>
            </w:r>
            <w:r>
              <w:rPr>
                <w:rFonts w:cs="Arial"/>
              </w:rPr>
              <w:t xml:space="preserve">cognised as an expense based on </w:t>
            </w:r>
            <w:r w:rsidRPr="002428D7">
              <w:rPr>
                <w:rFonts w:cs="Arial"/>
              </w:rPr>
              <w:t>the estimated useful life of the asset</w:t>
            </w:r>
          </w:p>
        </w:tc>
        <w:tc>
          <w:tcPr>
            <w:tcW w:w="2835" w:type="dxa"/>
          </w:tcPr>
          <w:p w14:paraId="3AE74C27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Not deductible</w:t>
            </w:r>
            <w:r>
              <w:rPr>
                <w:rFonts w:cs="Arial"/>
              </w:rPr>
              <w:t>.</w:t>
            </w:r>
            <w:r w:rsidRPr="002428D7">
              <w:rPr>
                <w:rFonts w:cs="Arial"/>
              </w:rPr>
              <w:t xml:space="preserve"> However, a special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2.5</w:t>
            </w:r>
            <w:r>
              <w:rPr>
                <w:rFonts w:cs="Arial"/>
              </w:rPr>
              <w:t> per cent</w:t>
            </w:r>
            <w:r w:rsidRPr="002428D7">
              <w:rPr>
                <w:rFonts w:cs="Arial"/>
              </w:rPr>
              <w:t xml:space="preserve"> capital works allowance applies</w:t>
            </w:r>
            <w:r>
              <w:rPr>
                <w:rFonts w:cs="Arial"/>
              </w:rPr>
              <w:t xml:space="preserve"> on the construction cost of the </w:t>
            </w:r>
            <w:r w:rsidRPr="002428D7">
              <w:rPr>
                <w:rFonts w:cs="Arial"/>
              </w:rPr>
              <w:t>building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6614FBB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68192908" w14:textId="77777777" w:rsidTr="00AD7252">
        <w:tc>
          <w:tcPr>
            <w:tcW w:w="2830" w:type="dxa"/>
          </w:tcPr>
          <w:p w14:paraId="24A3C9EE" w14:textId="77777777" w:rsidR="00997DA5" w:rsidRPr="002428D7" w:rsidRDefault="00997DA5" w:rsidP="00ED3A7B">
            <w:pPr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Entertainment</w:t>
            </w:r>
          </w:p>
        </w:tc>
        <w:tc>
          <w:tcPr>
            <w:tcW w:w="2977" w:type="dxa"/>
          </w:tcPr>
          <w:p w14:paraId="3A86864E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Recognised as an expense when </w:t>
            </w:r>
            <w:r w:rsidRPr="002428D7">
              <w:rPr>
                <w:rFonts w:cs="Arial"/>
              </w:rPr>
              <w:t>incurred</w:t>
            </w:r>
          </w:p>
        </w:tc>
        <w:tc>
          <w:tcPr>
            <w:tcW w:w="2835" w:type="dxa"/>
          </w:tcPr>
          <w:p w14:paraId="589C89FE" w14:textId="0A3496A2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Entertainment provided to employees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is tax</w:t>
            </w:r>
            <w:r>
              <w:rPr>
                <w:rFonts w:cs="Arial"/>
              </w:rPr>
              <w:t xml:space="preserve"> deductible, however, </w:t>
            </w:r>
            <w:r w:rsidRPr="002428D7">
              <w:rPr>
                <w:rFonts w:cs="Arial"/>
              </w:rPr>
              <w:t>entertainment provided to</w:t>
            </w:r>
            <w:r w:rsidR="00ED3A7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clients is not deductible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866BACE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19BA532F" w14:textId="77777777" w:rsidTr="00AD7252">
        <w:tc>
          <w:tcPr>
            <w:tcW w:w="2830" w:type="dxa"/>
          </w:tcPr>
          <w:p w14:paraId="2847FA97" w14:textId="77777777" w:rsidR="00997DA5" w:rsidRPr="002428D7" w:rsidRDefault="00997DA5" w:rsidP="00ED3A7B">
            <w:pPr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Fines and penalties</w:t>
            </w:r>
          </w:p>
        </w:tc>
        <w:tc>
          <w:tcPr>
            <w:tcW w:w="2977" w:type="dxa"/>
          </w:tcPr>
          <w:p w14:paraId="6C652ECC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Recognised as an expense when </w:t>
            </w:r>
            <w:r w:rsidRPr="002428D7">
              <w:rPr>
                <w:rFonts w:cs="Arial"/>
              </w:rPr>
              <w:t>incurred</w:t>
            </w:r>
          </w:p>
        </w:tc>
        <w:tc>
          <w:tcPr>
            <w:tcW w:w="2835" w:type="dxa"/>
          </w:tcPr>
          <w:p w14:paraId="0E0C2456" w14:textId="2FD098DD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Not deductible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2DAAA0C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00D3F040" w14:textId="77777777" w:rsidTr="00AD7252">
        <w:tc>
          <w:tcPr>
            <w:tcW w:w="2830" w:type="dxa"/>
          </w:tcPr>
          <w:p w14:paraId="11041498" w14:textId="37833F78" w:rsidR="00997DA5" w:rsidRPr="006B1CC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6B1CC9">
              <w:rPr>
                <w:rFonts w:cs="Arial"/>
              </w:rPr>
              <w:t>Lease</w:t>
            </w:r>
            <w:r w:rsidR="00ED3A7B">
              <w:rPr>
                <w:rFonts w:cs="Arial"/>
              </w:rPr>
              <w:t xml:space="preserve"> </w:t>
            </w:r>
            <w:r w:rsidRPr="006B1CC9">
              <w:rPr>
                <w:rFonts w:cs="Arial"/>
              </w:rPr>
              <w:t>payments</w:t>
            </w:r>
          </w:p>
        </w:tc>
        <w:tc>
          <w:tcPr>
            <w:tcW w:w="2977" w:type="dxa"/>
          </w:tcPr>
          <w:p w14:paraId="6496B404" w14:textId="17294253" w:rsidR="00997DA5" w:rsidRPr="006B1CC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6B1CC9">
              <w:rPr>
                <w:rFonts w:cs="Arial"/>
              </w:rPr>
              <w:t xml:space="preserve">Payments </w:t>
            </w:r>
            <w:r>
              <w:rPr>
                <w:rFonts w:cs="Arial"/>
              </w:rPr>
              <w:t xml:space="preserve">are recognised as interest expense and principal repayments in </w:t>
            </w:r>
            <w:r w:rsidRPr="006B1CC9">
              <w:rPr>
                <w:rFonts w:cs="Arial"/>
              </w:rPr>
              <w:t xml:space="preserve">accordance with </w:t>
            </w:r>
            <w:r>
              <w:rPr>
                <w:rFonts w:cs="Arial"/>
              </w:rPr>
              <w:t>the Australian a</w:t>
            </w:r>
            <w:r w:rsidRPr="006B1CC9">
              <w:rPr>
                <w:rFonts w:cs="Arial"/>
              </w:rPr>
              <w:t xml:space="preserve">ccounting </w:t>
            </w:r>
            <w:r>
              <w:rPr>
                <w:rFonts w:cs="Arial"/>
              </w:rPr>
              <w:t>s</w:t>
            </w:r>
            <w:r w:rsidRPr="006B1CC9">
              <w:rPr>
                <w:rFonts w:cs="Arial"/>
              </w:rPr>
              <w:t>tandards.</w:t>
            </w:r>
          </w:p>
        </w:tc>
        <w:tc>
          <w:tcPr>
            <w:tcW w:w="2835" w:type="dxa"/>
          </w:tcPr>
          <w:p w14:paraId="0484E6C5" w14:textId="77777777" w:rsidR="00997DA5" w:rsidRPr="006B1CC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6B1CC9">
              <w:rPr>
                <w:rFonts w:cs="Arial"/>
              </w:rPr>
              <w:t>Lease payments are tax deductible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995BF2C" w14:textId="77777777" w:rsidR="00997DA5" w:rsidRPr="006B1CC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6B1CC9">
              <w:rPr>
                <w:rFonts w:cs="Arial"/>
              </w:rPr>
              <w:t>Accounting treatment</w:t>
            </w:r>
          </w:p>
        </w:tc>
      </w:tr>
      <w:tr w:rsidR="00997DA5" w:rsidRPr="008B3B08" w14:paraId="5D16B8BE" w14:textId="77777777" w:rsidTr="00AD7252">
        <w:tc>
          <w:tcPr>
            <w:tcW w:w="2830" w:type="dxa"/>
          </w:tcPr>
          <w:p w14:paraId="5DB48510" w14:textId="77777777" w:rsidR="00997DA5" w:rsidRPr="008B3B08" w:rsidRDefault="00997DA5" w:rsidP="00ED3A7B">
            <w:pPr>
              <w:spacing w:before="120" w:after="120"/>
              <w:rPr>
                <w:rFonts w:cs="Arial"/>
              </w:rPr>
            </w:pPr>
            <w:r w:rsidRPr="008B3B08">
              <w:rPr>
                <w:rFonts w:cs="Arial"/>
              </w:rPr>
              <w:lastRenderedPageBreak/>
              <w:t>Amortisation of right of use asset</w:t>
            </w:r>
          </w:p>
        </w:tc>
        <w:tc>
          <w:tcPr>
            <w:tcW w:w="2977" w:type="dxa"/>
          </w:tcPr>
          <w:p w14:paraId="7161B165" w14:textId="77777777" w:rsidR="00997DA5" w:rsidRPr="008B3B08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8B3B08">
              <w:rPr>
                <w:rFonts w:cs="Arial"/>
              </w:rPr>
              <w:t>Recognised as</w:t>
            </w:r>
            <w:r>
              <w:rPr>
                <w:rFonts w:cs="Arial"/>
              </w:rPr>
              <w:t xml:space="preserve"> an expense over</w:t>
            </w:r>
            <w:r w:rsidRPr="008B3B08">
              <w:rPr>
                <w:rFonts w:cs="Arial"/>
              </w:rPr>
              <w:t xml:space="preserve"> the estimated lease term</w:t>
            </w:r>
          </w:p>
        </w:tc>
        <w:tc>
          <w:tcPr>
            <w:tcW w:w="2835" w:type="dxa"/>
          </w:tcPr>
          <w:p w14:paraId="4BDF5B4A" w14:textId="77777777" w:rsidR="00997DA5" w:rsidRPr="008B3B08" w:rsidRDefault="00997DA5" w:rsidP="00ED3A7B">
            <w:pPr>
              <w:spacing w:before="120" w:after="120"/>
              <w:rPr>
                <w:rFonts w:cs="Arial"/>
              </w:rPr>
            </w:pPr>
            <w:r w:rsidRPr="008B3B08">
              <w:rPr>
                <w:rFonts w:cs="Arial"/>
              </w:rPr>
              <w:t>Recognised as an allowable deduction in accordance with the effective life of the asset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2BDF96D" w14:textId="77777777" w:rsidR="00997DA5" w:rsidRPr="008B3B08" w:rsidRDefault="00997DA5" w:rsidP="00ED3A7B">
            <w:pPr>
              <w:spacing w:before="120" w:after="120"/>
              <w:rPr>
                <w:rFonts w:cs="Arial"/>
              </w:rPr>
            </w:pPr>
            <w:r w:rsidRPr="008B3B08">
              <w:rPr>
                <w:rFonts w:cs="Arial"/>
              </w:rPr>
              <w:t xml:space="preserve">Accounting treatment </w:t>
            </w:r>
          </w:p>
        </w:tc>
      </w:tr>
      <w:tr w:rsidR="00997DA5" w:rsidRPr="002428D7" w14:paraId="04754457" w14:textId="77777777" w:rsidTr="00AD7252">
        <w:tc>
          <w:tcPr>
            <w:tcW w:w="2830" w:type="dxa"/>
          </w:tcPr>
          <w:p w14:paraId="4BBA2B50" w14:textId="77777777" w:rsidR="00997DA5" w:rsidRPr="00260F8A" w:rsidRDefault="00997DA5" w:rsidP="00ED3A7B">
            <w:pPr>
              <w:spacing w:before="120" w:after="120"/>
              <w:rPr>
                <w:rFonts w:cs="Arial"/>
              </w:rPr>
            </w:pPr>
            <w:r w:rsidRPr="00260F8A">
              <w:rPr>
                <w:rFonts w:cs="Arial"/>
              </w:rPr>
              <w:t xml:space="preserve">Impairment </w:t>
            </w:r>
            <w:r>
              <w:rPr>
                <w:rFonts w:cs="Arial"/>
              </w:rPr>
              <w:t>of assets</w:t>
            </w:r>
          </w:p>
        </w:tc>
        <w:tc>
          <w:tcPr>
            <w:tcW w:w="2977" w:type="dxa"/>
          </w:tcPr>
          <w:p w14:paraId="401C712E" w14:textId="77777777" w:rsidR="00997DA5" w:rsidRPr="00260F8A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60F8A">
              <w:rPr>
                <w:rFonts w:cs="Arial"/>
              </w:rPr>
              <w:t xml:space="preserve">Impairment expense recognised in accordance with </w:t>
            </w:r>
            <w:r>
              <w:rPr>
                <w:rFonts w:cs="Arial"/>
              </w:rPr>
              <w:t>Australian a</w:t>
            </w:r>
            <w:r w:rsidRPr="00260F8A">
              <w:rPr>
                <w:rFonts w:cs="Arial"/>
              </w:rPr>
              <w:t xml:space="preserve">ccounting </w:t>
            </w:r>
            <w:r>
              <w:rPr>
                <w:rFonts w:cs="Arial"/>
              </w:rPr>
              <w:t>s</w:t>
            </w:r>
            <w:r w:rsidRPr="00260F8A">
              <w:rPr>
                <w:rFonts w:cs="Arial"/>
              </w:rPr>
              <w:t>tandards</w:t>
            </w:r>
          </w:p>
        </w:tc>
        <w:tc>
          <w:tcPr>
            <w:tcW w:w="2835" w:type="dxa"/>
          </w:tcPr>
          <w:p w14:paraId="1E2ED8BD" w14:textId="77777777" w:rsidR="00997DA5" w:rsidRPr="006B1CC9" w:rsidRDefault="00997DA5" w:rsidP="00ED3A7B">
            <w:pPr>
              <w:spacing w:before="120" w:after="120"/>
              <w:rPr>
                <w:rFonts w:cs="Arial"/>
              </w:rPr>
            </w:pPr>
            <w:r w:rsidRPr="006B1CC9">
              <w:rPr>
                <w:rFonts w:cs="Arial"/>
              </w:rPr>
              <w:t>Not deductible per the ITAA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63D9B23" w14:textId="77777777" w:rsidR="00997DA5" w:rsidRPr="00535845" w:rsidRDefault="00997DA5" w:rsidP="00ED3A7B">
            <w:pPr>
              <w:spacing w:before="120" w:after="120"/>
              <w:rPr>
                <w:rFonts w:cs="Arial"/>
                <w:highlight w:val="yellow"/>
              </w:rPr>
            </w:pPr>
            <w:r w:rsidRPr="006B1CC9">
              <w:rPr>
                <w:rFonts w:cs="Arial"/>
              </w:rPr>
              <w:t>Taxation treatment</w:t>
            </w:r>
          </w:p>
        </w:tc>
      </w:tr>
      <w:tr w:rsidR="00997DA5" w:rsidRPr="002428D7" w14:paraId="7C1ABC84" w14:textId="77777777" w:rsidTr="00AD7252">
        <w:tc>
          <w:tcPr>
            <w:tcW w:w="2830" w:type="dxa"/>
          </w:tcPr>
          <w:p w14:paraId="21CB810B" w14:textId="3958DDD8" w:rsidR="00997DA5" w:rsidRPr="002428D7" w:rsidRDefault="00997DA5" w:rsidP="00ED3A7B">
            <w:pPr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Interest paid</w:t>
            </w:r>
            <w:r w:rsidR="00ED3A7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ED3A7B">
              <w:rPr>
                <w:rFonts w:cs="Arial"/>
              </w:rPr>
              <w:t xml:space="preserve"> expense</w:t>
            </w:r>
          </w:p>
        </w:tc>
        <w:tc>
          <w:tcPr>
            <w:tcW w:w="2977" w:type="dxa"/>
          </w:tcPr>
          <w:p w14:paraId="172248C2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Recognised as an expense when incurred. Certain </w:t>
            </w:r>
            <w:r w:rsidRPr="002428D7">
              <w:rPr>
                <w:rFonts w:cs="Arial"/>
              </w:rPr>
              <w:t>interest costs</w:t>
            </w:r>
            <w:r>
              <w:rPr>
                <w:rFonts w:cs="Arial"/>
              </w:rPr>
              <w:t xml:space="preserve"> are capitalised and amortised in accordance with </w:t>
            </w:r>
            <w:r w:rsidRPr="00260F8A">
              <w:rPr>
                <w:rFonts w:cs="Arial"/>
              </w:rPr>
              <w:t xml:space="preserve">Australian </w:t>
            </w:r>
            <w:r>
              <w:rPr>
                <w:rFonts w:cs="Arial"/>
              </w:rPr>
              <w:t>a</w:t>
            </w:r>
            <w:r w:rsidRPr="00260F8A">
              <w:rPr>
                <w:rFonts w:cs="Arial"/>
              </w:rPr>
              <w:t xml:space="preserve">ccounting </w:t>
            </w:r>
            <w:r>
              <w:rPr>
                <w:rFonts w:cs="Arial"/>
              </w:rPr>
              <w:t>s</w:t>
            </w:r>
            <w:r w:rsidRPr="00260F8A">
              <w:rPr>
                <w:rFonts w:cs="Arial"/>
              </w:rPr>
              <w:t>tandards</w:t>
            </w:r>
          </w:p>
        </w:tc>
        <w:tc>
          <w:tcPr>
            <w:tcW w:w="2835" w:type="dxa"/>
          </w:tcPr>
          <w:p w14:paraId="5E4C9433" w14:textId="53982A19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Recognised as an allowable deduction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when paid (even if capitalised for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accounting purposes)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ADE4570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21354A3E" w14:textId="77777777" w:rsidTr="00AD7252">
        <w:tc>
          <w:tcPr>
            <w:tcW w:w="2830" w:type="dxa"/>
          </w:tcPr>
          <w:p w14:paraId="28BF0433" w14:textId="77777777" w:rsidR="00997DA5" w:rsidRPr="0001608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Passive</w:t>
            </w:r>
            <w:r w:rsidRPr="00016089">
              <w:rPr>
                <w:rFonts w:cs="Arial"/>
              </w:rPr>
              <w:t xml:space="preserve"> income</w:t>
            </w:r>
            <w:r>
              <w:rPr>
                <w:rFonts w:cs="Arial"/>
              </w:rPr>
              <w:t xml:space="preserve"> (e.g. interest revenue)</w:t>
            </w:r>
          </w:p>
        </w:tc>
        <w:tc>
          <w:tcPr>
            <w:tcW w:w="2977" w:type="dxa"/>
          </w:tcPr>
          <w:p w14:paraId="4310CFE6" w14:textId="24E23A54" w:rsidR="00997DA5" w:rsidRPr="0001608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016089">
              <w:rPr>
                <w:rFonts w:cs="Arial"/>
              </w:rPr>
              <w:t>Recognise</w:t>
            </w:r>
            <w:r>
              <w:rPr>
                <w:rFonts w:cs="Arial"/>
              </w:rPr>
              <w:t>d</w:t>
            </w:r>
            <w:r w:rsidRPr="00016089">
              <w:rPr>
                <w:rFonts w:cs="Arial"/>
              </w:rPr>
              <w:t xml:space="preserve"> as revenue </w:t>
            </w:r>
            <w:r>
              <w:rPr>
                <w:rFonts w:cs="Arial"/>
              </w:rPr>
              <w:t>when earned in accordance with Australian accounting standards</w:t>
            </w:r>
          </w:p>
        </w:tc>
        <w:tc>
          <w:tcPr>
            <w:tcW w:w="2835" w:type="dxa"/>
          </w:tcPr>
          <w:p w14:paraId="77048D4F" w14:textId="77777777" w:rsidR="00997DA5" w:rsidRPr="0001608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016089">
              <w:rPr>
                <w:rFonts w:cs="Arial"/>
              </w:rPr>
              <w:t>Generally recognised as assessable</w:t>
            </w:r>
            <w:r>
              <w:rPr>
                <w:rFonts w:cs="Arial"/>
              </w:rPr>
              <w:t xml:space="preserve"> </w:t>
            </w:r>
            <w:r w:rsidRPr="00016089">
              <w:rPr>
                <w:rFonts w:cs="Arial"/>
              </w:rPr>
              <w:t>income when received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4ADF8FA" w14:textId="77777777" w:rsidR="00997DA5" w:rsidRPr="00016089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016089">
              <w:rPr>
                <w:rFonts w:cs="Arial"/>
              </w:rPr>
              <w:t>Accounting treatment</w:t>
            </w:r>
          </w:p>
        </w:tc>
      </w:tr>
      <w:tr w:rsidR="00997DA5" w:rsidRPr="002428D7" w14:paraId="27F7D20B" w14:textId="77777777" w:rsidTr="00AD7252">
        <w:trPr>
          <w:trHeight w:val="299"/>
        </w:trPr>
        <w:tc>
          <w:tcPr>
            <w:tcW w:w="2830" w:type="dxa"/>
          </w:tcPr>
          <w:p w14:paraId="56738EF4" w14:textId="329709F9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Research and</w:t>
            </w:r>
            <w:r w:rsidR="00ED3A7B"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development costs</w:t>
            </w:r>
          </w:p>
        </w:tc>
        <w:tc>
          <w:tcPr>
            <w:tcW w:w="2977" w:type="dxa"/>
          </w:tcPr>
          <w:p w14:paraId="2A401C94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Sometimes capitalised as a non</w:t>
            </w:r>
            <w:r>
              <w:rPr>
                <w:rFonts w:cs="Arial"/>
              </w:rPr>
              <w:t xml:space="preserve">-current asset and amortised </w:t>
            </w:r>
            <w:r w:rsidRPr="002428D7">
              <w:rPr>
                <w:rFonts w:cs="Arial"/>
              </w:rPr>
              <w:t>based on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service potential</w:t>
            </w:r>
          </w:p>
        </w:tc>
        <w:tc>
          <w:tcPr>
            <w:tcW w:w="2835" w:type="dxa"/>
          </w:tcPr>
          <w:p w14:paraId="78952FDB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Recognised as an allowable deduction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when pai</w:t>
            </w:r>
            <w:r>
              <w:rPr>
                <w:rFonts w:cs="Arial"/>
              </w:rPr>
              <w:t>d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E59D973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  <w:tr w:rsidR="00997DA5" w:rsidRPr="002428D7" w14:paraId="408A77F7" w14:textId="77777777" w:rsidTr="00AD7252">
        <w:tc>
          <w:tcPr>
            <w:tcW w:w="2830" w:type="dxa"/>
          </w:tcPr>
          <w:p w14:paraId="6941AB7D" w14:textId="77777777" w:rsidR="00997DA5" w:rsidRPr="002428D7" w:rsidRDefault="00997DA5" w:rsidP="00ED3A7B">
            <w:pPr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Unearned income</w:t>
            </w:r>
          </w:p>
        </w:tc>
        <w:tc>
          <w:tcPr>
            <w:tcW w:w="2977" w:type="dxa"/>
          </w:tcPr>
          <w:p w14:paraId="175CBCCB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Reco</w:t>
            </w:r>
            <w:r>
              <w:rPr>
                <w:rFonts w:cs="Arial"/>
              </w:rPr>
              <w:t xml:space="preserve">gnised as a liability (unearned </w:t>
            </w:r>
            <w:r w:rsidRPr="002428D7">
              <w:rPr>
                <w:rFonts w:cs="Arial"/>
              </w:rPr>
              <w:t>income) and progressively</w:t>
            </w:r>
            <w:r>
              <w:rPr>
                <w:rFonts w:cs="Arial"/>
              </w:rPr>
              <w:t xml:space="preserve"> brought to </w:t>
            </w:r>
            <w:r w:rsidRPr="002428D7">
              <w:rPr>
                <w:rFonts w:cs="Arial"/>
              </w:rPr>
              <w:t xml:space="preserve">account over </w:t>
            </w:r>
            <w:r>
              <w:rPr>
                <w:rFonts w:cs="Arial"/>
              </w:rPr>
              <w:t>time</w:t>
            </w:r>
          </w:p>
        </w:tc>
        <w:tc>
          <w:tcPr>
            <w:tcW w:w="2835" w:type="dxa"/>
          </w:tcPr>
          <w:p w14:paraId="5BC37E2D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428D7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refundable, same as accounting treatment (i.</w:t>
            </w:r>
            <w:r w:rsidRPr="002428D7">
              <w:rPr>
                <w:rFonts w:cs="Arial"/>
              </w:rPr>
              <w:t>e. recognise</w:t>
            </w:r>
            <w:r>
              <w:rPr>
                <w:rFonts w:cs="Arial"/>
              </w:rPr>
              <w:t>d</w:t>
            </w:r>
            <w:r w:rsidRPr="002428D7">
              <w:rPr>
                <w:rFonts w:cs="Arial"/>
              </w:rPr>
              <w:t xml:space="preserve"> as income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after each service has been provided)</w:t>
            </w:r>
            <w:r>
              <w:rPr>
                <w:rFonts w:cs="Arial"/>
              </w:rPr>
              <w:t xml:space="preserve">. </w:t>
            </w:r>
            <w:r w:rsidRPr="002428D7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non</w:t>
            </w:r>
            <w:r>
              <w:rPr>
                <w:rFonts w:cs="Arial"/>
              </w:rPr>
              <w:noBreakHyphen/>
            </w:r>
            <w:r w:rsidRPr="002428D7">
              <w:rPr>
                <w:rFonts w:cs="Arial"/>
              </w:rPr>
              <w:t>refundable,</w:t>
            </w:r>
            <w:r>
              <w:rPr>
                <w:rFonts w:cs="Arial"/>
              </w:rPr>
              <w:t xml:space="preserve"> it is</w:t>
            </w:r>
            <w:r w:rsidRPr="002428D7">
              <w:rPr>
                <w:rFonts w:cs="Arial"/>
              </w:rPr>
              <w:t xml:space="preserve"> regarded as</w:t>
            </w:r>
            <w:r>
              <w:rPr>
                <w:rFonts w:cs="Arial"/>
              </w:rPr>
              <w:t xml:space="preserve"> </w:t>
            </w:r>
            <w:r w:rsidRPr="002428D7">
              <w:rPr>
                <w:rFonts w:cs="Arial"/>
              </w:rPr>
              <w:t>assessable income upon receipt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5CC7AA8" w14:textId="77777777" w:rsidR="00997DA5" w:rsidRPr="002428D7" w:rsidRDefault="00997DA5" w:rsidP="00ED3A7B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Accounting treatment</w:t>
            </w:r>
          </w:p>
        </w:tc>
      </w:tr>
    </w:tbl>
    <w:p w14:paraId="291A4DCD" w14:textId="747C6B8D" w:rsidR="00AE091A" w:rsidRDefault="00AE091A" w:rsidP="00997DA5">
      <w:pPr>
        <w:pStyle w:val="Heading4"/>
        <w:numPr>
          <w:ilvl w:val="0"/>
          <w:numId w:val="0"/>
        </w:numPr>
      </w:pPr>
    </w:p>
    <w:sectPr w:rsidR="00AE091A" w:rsidSect="00C756B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5E49E" w14:textId="77777777" w:rsidR="008D1BA7" w:rsidRDefault="008D1BA7" w:rsidP="00293A72">
      <w:r>
        <w:separator/>
      </w:r>
    </w:p>
  </w:endnote>
  <w:endnote w:type="continuationSeparator" w:id="0">
    <w:p w14:paraId="399843E3" w14:textId="77777777" w:rsidR="008D1BA7" w:rsidRDefault="008D1BA7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78C14" w14:textId="77777777" w:rsidR="004C713D" w:rsidRPr="009A7587" w:rsidRDefault="00164143" w:rsidP="004C713D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pict w14:anchorId="1BA294EA">
        <v:rect id="_x0000_i1025" style="width:481.9pt;height:.5pt" o:hralign="center" o:hrstd="t" o:hrnoshade="t" o:hr="t" fillcolor="black [3213]" stroked="f"/>
      </w:pict>
    </w:r>
  </w:p>
  <w:p w14:paraId="3905C883" w14:textId="77777777" w:rsidR="004C713D" w:rsidRPr="009568B9" w:rsidRDefault="004C713D" w:rsidP="004C713D">
    <w:pPr>
      <w:pStyle w:val="NTGFooterDepartmentandPagenumber"/>
      <w:tabs>
        <w:tab w:val="clear" w:pos="9026"/>
        <w:tab w:val="right" w:pos="10206"/>
      </w:tabs>
      <w:ind w:left="-567" w:right="-568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 w:rsidR="00164143">
      <w:rPr>
        <w:noProof/>
      </w:rPr>
      <w:t>1</w:t>
    </w:r>
    <w:r w:rsidRPr="009568B9">
      <w:fldChar w:fldCharType="end"/>
    </w:r>
    <w:r w:rsidRPr="009568B9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164143">
      <w:rPr>
        <w:noProof/>
      </w:rPr>
      <w:t>2</w:t>
    </w:r>
    <w:r>
      <w:rPr>
        <w:noProof/>
      </w:rPr>
      <w:fldChar w:fldCharType="end"/>
    </w:r>
  </w:p>
  <w:p w14:paraId="2DEA1CFD" w14:textId="77777777" w:rsidR="004C713D" w:rsidRPr="009568B9" w:rsidRDefault="004C713D" w:rsidP="004C713D">
    <w:pPr>
      <w:pStyle w:val="NTGFooterDateVersion"/>
      <w:ind w:left="-567"/>
    </w:pPr>
    <w:fldSimple w:instr=" DOCPROPERTY  DocumentDate  \* MERGEFORMAT ">
      <w:r>
        <w:t>1 July 201</w:t>
      </w:r>
    </w:fldSimple>
    <w:r>
      <w:t>8</w:t>
    </w:r>
    <w:r w:rsidRPr="009568B9">
      <w:t>, Version </w:t>
    </w:r>
    <w:fldSimple w:instr=" DOCPROPERTY  VersionNo  \* MERGEFORMAT ">
      <w:r>
        <w:t>1.0</w:t>
      </w:r>
    </w:fldSimple>
  </w:p>
  <w:p w14:paraId="7CC46009" w14:textId="77777777" w:rsidR="004C713D" w:rsidRDefault="004C71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354BB" w14:textId="77777777" w:rsidR="0068303D" w:rsidRPr="00F6368A" w:rsidRDefault="0068303D" w:rsidP="00A24C50">
    <w:pPr>
      <w:pStyle w:val="Footer"/>
    </w:pPr>
  </w:p>
  <w:p w14:paraId="4DD660A0" w14:textId="77777777" w:rsidR="0068303D" w:rsidRPr="00F6368A" w:rsidRDefault="0068303D" w:rsidP="009616DF">
    <w:pPr>
      <w:tabs>
        <w:tab w:val="right" w:pos="9639"/>
        <w:tab w:val="right" w:pos="14459"/>
      </w:tabs>
      <w:ind w:left="-709" w:right="-341"/>
      <w:rPr>
        <w:rFonts w:cs="Arial"/>
      </w:rPr>
    </w:pPr>
    <w:r w:rsidRPr="00F6368A">
      <w:rPr>
        <w:rFonts w:cs="Arial"/>
      </w:rPr>
      <w:t xml:space="preserve">DEPARTMENT OF </w:t>
    </w:r>
    <w:r>
      <w:rPr>
        <w:rFonts w:cs="Arial"/>
        <w:b/>
      </w:rPr>
      <w:t>BUSINESS AND EMPLOYMENT</w:t>
    </w:r>
    <w:r>
      <w:rPr>
        <w:rFonts w:cs="Arial"/>
        <w:b/>
      </w:rPr>
      <w:tab/>
    </w:r>
    <w:r w:rsidRPr="00F6368A">
      <w:rPr>
        <w:rStyle w:val="PageNumber"/>
        <w:rFonts w:cs="Arial"/>
      </w:rPr>
      <w:fldChar w:fldCharType="begin"/>
    </w:r>
    <w:r w:rsidRPr="00F6368A">
      <w:rPr>
        <w:rStyle w:val="PageNumber"/>
        <w:rFonts w:cs="Arial"/>
      </w:rPr>
      <w:instrText xml:space="preserve"> PAGE </w:instrText>
    </w:r>
    <w:r w:rsidRPr="00F6368A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23</w:t>
    </w:r>
    <w:r w:rsidRPr="00F6368A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FF00A" w14:textId="77777777" w:rsidR="008D1BA7" w:rsidRDefault="008D1BA7" w:rsidP="00293A72">
      <w:r>
        <w:separator/>
      </w:r>
    </w:p>
  </w:footnote>
  <w:footnote w:type="continuationSeparator" w:id="0">
    <w:p w14:paraId="2A977CC4" w14:textId="77777777" w:rsidR="008D1BA7" w:rsidRDefault="008D1BA7" w:rsidP="00293A72">
      <w:r>
        <w:continuationSeparator/>
      </w:r>
    </w:p>
  </w:footnote>
  <w:footnote w:type="continuationNotice" w:id="1">
    <w:p w14:paraId="047520EE" w14:textId="77777777" w:rsidR="008D1BA7" w:rsidRPr="00FB5692" w:rsidRDefault="008D1BA7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63E7C" w14:textId="1A7C8EEF" w:rsidR="0068303D" w:rsidRDefault="00164143" w:rsidP="006263E6">
    <w:pPr>
      <w:pStyle w:val="Header"/>
      <w:tabs>
        <w:tab w:val="clear" w:pos="4513"/>
        <w:tab w:val="clear" w:pos="9026"/>
      </w:tabs>
      <w:ind w:right="-568"/>
    </w:pPr>
    <w:r>
      <w:fldChar w:fldCharType="begin"/>
    </w:r>
    <w:r>
      <w:instrText xml:space="preserve"> TITLE   \* MERGEFORMAT </w:instrText>
    </w:r>
    <w:r>
      <w:fldChar w:fldCharType="separate"/>
    </w:r>
    <w:r w:rsidR="00ED3A7B">
      <w:t xml:space="preserve">Guidance document: </w:t>
    </w:r>
    <w:r w:rsidR="006263E6">
      <w:t>Northern Territory tax equivalent regime and dividend policy</w:t>
    </w:r>
    <w:r>
      <w:fldChar w:fldCharType="end"/>
    </w:r>
  </w:p>
  <w:p w14:paraId="0D6DFF80" w14:textId="77777777" w:rsidR="006263E6" w:rsidRPr="006263E6" w:rsidRDefault="006263E6" w:rsidP="006263E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01C8" w14:textId="77777777" w:rsidR="0068303D" w:rsidRPr="00861DC3" w:rsidRDefault="0068303D" w:rsidP="00354E47">
    <w:pPr>
      <w:pStyle w:val="Header"/>
      <w:tabs>
        <w:tab w:val="clear" w:pos="4513"/>
        <w:tab w:val="clear" w:pos="9026"/>
      </w:tabs>
      <w:ind w:right="-285"/>
    </w:pPr>
    <w:r>
      <w:t>Policy</w:t>
    </w:r>
    <w:r w:rsidRPr="00861DC3">
      <w:t xml:space="preserve"> Name</w:t>
    </w:r>
  </w:p>
  <w:p w14:paraId="778B42AD" w14:textId="77777777" w:rsidR="0068303D" w:rsidRDefault="0068303D" w:rsidP="00354E47"/>
  <w:p w14:paraId="3489CBB4" w14:textId="77777777" w:rsidR="0068303D" w:rsidRDefault="0068303D" w:rsidP="00354E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9390C2C"/>
    <w:multiLevelType w:val="hybridMultilevel"/>
    <w:tmpl w:val="ED5202D0"/>
    <w:lvl w:ilvl="0" w:tplc="2D4AF39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5CC4"/>
    <w:multiLevelType w:val="hybridMultilevel"/>
    <w:tmpl w:val="101C52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53D31"/>
    <w:multiLevelType w:val="hybridMultilevel"/>
    <w:tmpl w:val="95DC93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42A1A"/>
    <w:multiLevelType w:val="hybridMultilevel"/>
    <w:tmpl w:val="5E8EECC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F415D"/>
    <w:multiLevelType w:val="hybridMultilevel"/>
    <w:tmpl w:val="B84A93AC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9F5BF8"/>
    <w:multiLevelType w:val="hybridMultilevel"/>
    <w:tmpl w:val="02689B1C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E93944"/>
    <w:multiLevelType w:val="multilevel"/>
    <w:tmpl w:val="BD7A8414"/>
    <w:styleLink w:val="NTGStandard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8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9" w15:restartNumberingAfterBreak="0">
    <w:nsid w:val="28545CCB"/>
    <w:multiLevelType w:val="multilevel"/>
    <w:tmpl w:val="0C78A7AC"/>
    <w:numStyleLink w:val="NTGTableList"/>
  </w:abstractNum>
  <w:abstractNum w:abstractNumId="10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3FA55FA6"/>
    <w:multiLevelType w:val="hybridMultilevel"/>
    <w:tmpl w:val="6264F466"/>
    <w:lvl w:ilvl="0" w:tplc="0C090019">
      <w:start w:val="1"/>
      <w:numFmt w:val="lowerLetter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6F70CC"/>
    <w:multiLevelType w:val="multilevel"/>
    <w:tmpl w:val="39746A98"/>
    <w:numStyleLink w:val="NTGTableNumList"/>
  </w:abstractNum>
  <w:abstractNum w:abstractNumId="13" w15:restartNumberingAfterBreak="0">
    <w:nsid w:val="446D3A6A"/>
    <w:multiLevelType w:val="multilevel"/>
    <w:tmpl w:val="7B804CF0"/>
    <w:lvl w:ilvl="0">
      <w:start w:val="1"/>
      <w:numFmt w:val="bullet"/>
      <w:pStyle w:val="Bullet1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vanish w:val="0"/>
        <w:color w:val="auto"/>
        <w:sz w:val="18"/>
        <w:szCs w:val="18"/>
      </w:rPr>
    </w:lvl>
    <w:lvl w:ilvl="1">
      <w:start w:val="1"/>
      <w:numFmt w:val="bullet"/>
      <w:pStyle w:val="Bullet2"/>
      <w:lvlText w:val="–"/>
      <w:lvlJc w:val="left"/>
      <w:pPr>
        <w:tabs>
          <w:tab w:val="num" w:pos="576"/>
        </w:tabs>
        <w:ind w:left="576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2">
      <w:start w:val="1"/>
      <w:numFmt w:val="bullet"/>
      <w:pStyle w:val="Bulletinden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b w:val="0"/>
        <w:i w:val="0"/>
        <w:vanish w:val="0"/>
        <w:color w:val="4D4D4D"/>
        <w:sz w:val="22"/>
      </w:rPr>
    </w:lvl>
    <w:lvl w:ilvl="3">
      <w:start w:val="1"/>
      <w:numFmt w:val="bullet"/>
      <w:pStyle w:val="Bulletindent2"/>
      <w:lvlText w:val="–"/>
      <w:lvlJc w:val="left"/>
      <w:pPr>
        <w:tabs>
          <w:tab w:val="num" w:pos="1152"/>
        </w:tabs>
        <w:ind w:left="1152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211"/>
        </w:tabs>
        <w:ind w:left="2211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495"/>
        </w:tabs>
        <w:ind w:left="2495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7">
      <w:start w:val="1"/>
      <w:numFmt w:val="bullet"/>
      <w:lvlText w:val=""/>
      <w:lvlJc w:val="left"/>
      <w:pPr>
        <w:tabs>
          <w:tab w:val="num" w:pos="3062"/>
        </w:tabs>
        <w:ind w:left="3062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8">
      <w:start w:val="1"/>
      <w:numFmt w:val="bullet"/>
      <w:lvlText w:val=""/>
      <w:lvlJc w:val="left"/>
      <w:pPr>
        <w:tabs>
          <w:tab w:val="num" w:pos="3345"/>
        </w:tabs>
        <w:ind w:left="3345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</w:abstractNum>
  <w:abstractNum w:abstractNumId="14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55EE5AD0"/>
    <w:multiLevelType w:val="multilevel"/>
    <w:tmpl w:val="9CF2845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6" w15:restartNumberingAfterBreak="0">
    <w:nsid w:val="5F697E51"/>
    <w:multiLevelType w:val="hybridMultilevel"/>
    <w:tmpl w:val="62D893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601F79"/>
    <w:multiLevelType w:val="hybridMultilevel"/>
    <w:tmpl w:val="4072BF3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F66875"/>
    <w:multiLevelType w:val="multilevel"/>
    <w:tmpl w:val="43E62F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383A47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0" w15:restartNumberingAfterBreak="0">
    <w:nsid w:val="64B71E67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C45F79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436139"/>
    <w:multiLevelType w:val="hybridMultilevel"/>
    <w:tmpl w:val="46A0C5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554135"/>
    <w:multiLevelType w:val="hybridMultilevel"/>
    <w:tmpl w:val="5C883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1154D"/>
    <w:multiLevelType w:val="hybridMultilevel"/>
    <w:tmpl w:val="DECA80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9D4729"/>
    <w:multiLevelType w:val="hybridMultilevel"/>
    <w:tmpl w:val="110C4E8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694978"/>
    <w:multiLevelType w:val="multilevel"/>
    <w:tmpl w:val="E3084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0"/>
  </w:num>
  <w:num w:numId="5">
    <w:abstractNumId w:val="10"/>
  </w:num>
  <w:num w:numId="6">
    <w:abstractNumId w:val="14"/>
  </w:num>
  <w:num w:numId="7">
    <w:abstractNumId w:val="12"/>
  </w:num>
  <w:num w:numId="8">
    <w:abstractNumId w:val="9"/>
  </w:num>
  <w:num w:numId="9">
    <w:abstractNumId w:val="4"/>
  </w:num>
  <w:num w:numId="10">
    <w:abstractNumId w:val="5"/>
  </w:num>
  <w:num w:numId="11">
    <w:abstractNumId w:val="21"/>
  </w:num>
  <w:num w:numId="12">
    <w:abstractNumId w:val="20"/>
  </w:num>
  <w:num w:numId="13">
    <w:abstractNumId w:val="18"/>
  </w:num>
  <w:num w:numId="14">
    <w:abstractNumId w:val="19"/>
  </w:num>
  <w:num w:numId="15">
    <w:abstractNumId w:val="27"/>
  </w:num>
  <w:num w:numId="16">
    <w:abstractNumId w:val="17"/>
  </w:num>
  <w:num w:numId="17">
    <w:abstractNumId w:val="27"/>
  </w:num>
  <w:num w:numId="18">
    <w:abstractNumId w:val="27"/>
  </w:num>
  <w:num w:numId="19">
    <w:abstractNumId w:val="26"/>
  </w:num>
  <w:num w:numId="20">
    <w:abstractNumId w:val="11"/>
  </w:num>
  <w:num w:numId="21">
    <w:abstractNumId w:val="13"/>
  </w:num>
  <w:num w:numId="22">
    <w:abstractNumId w:val="27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4"/>
  </w:num>
  <w:num w:numId="35">
    <w:abstractNumId w:val="16"/>
  </w:num>
  <w:num w:numId="36">
    <w:abstractNumId w:val="27"/>
  </w:num>
  <w:num w:numId="37">
    <w:abstractNumId w:val="25"/>
  </w:num>
  <w:num w:numId="38">
    <w:abstractNumId w:val="22"/>
  </w:num>
  <w:num w:numId="39">
    <w:abstractNumId w:val="23"/>
  </w:num>
  <w:num w:numId="40">
    <w:abstractNumId w:val="27"/>
  </w:num>
  <w:num w:numId="41">
    <w:abstractNumId w:val="15"/>
  </w:num>
  <w:num w:numId="42">
    <w:abstractNumId w:val="27"/>
  </w:num>
  <w:num w:numId="43">
    <w:abstractNumId w:val="2"/>
  </w:num>
  <w:num w:numId="44">
    <w:abstractNumId w:val="27"/>
  </w:num>
  <w:num w:numId="45">
    <w:abstractNumId w:val="27"/>
  </w:num>
  <w:num w:numId="46">
    <w:abstractNumId w:val="6"/>
  </w:num>
  <w:num w:numId="47">
    <w:abstractNumId w:val="3"/>
  </w:num>
  <w:num w:numId="48">
    <w:abstractNumId w:val="14"/>
  </w:num>
  <w:num w:numId="49">
    <w:abstractNumId w:val="27"/>
  </w:num>
  <w:num w:numId="50">
    <w:abstractNumId w:val="27"/>
  </w:num>
  <w:num w:numId="51">
    <w:abstractNumId w:val="1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27"/>
  </w:num>
  <w:num w:numId="57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efaultTableStyle w:val="NTGTable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94"/>
    <w:rsid w:val="00003385"/>
    <w:rsid w:val="00003500"/>
    <w:rsid w:val="0000603E"/>
    <w:rsid w:val="00006C85"/>
    <w:rsid w:val="000102B4"/>
    <w:rsid w:val="00010839"/>
    <w:rsid w:val="00010B68"/>
    <w:rsid w:val="00012706"/>
    <w:rsid w:val="00012AD5"/>
    <w:rsid w:val="00013A22"/>
    <w:rsid w:val="00016089"/>
    <w:rsid w:val="0001749F"/>
    <w:rsid w:val="00020249"/>
    <w:rsid w:val="00021422"/>
    <w:rsid w:val="00021B0D"/>
    <w:rsid w:val="00024946"/>
    <w:rsid w:val="00025728"/>
    <w:rsid w:val="00027D9F"/>
    <w:rsid w:val="00030C95"/>
    <w:rsid w:val="00031214"/>
    <w:rsid w:val="00031544"/>
    <w:rsid w:val="00031593"/>
    <w:rsid w:val="00032639"/>
    <w:rsid w:val="000350A1"/>
    <w:rsid w:val="00036D23"/>
    <w:rsid w:val="0003719F"/>
    <w:rsid w:val="00037FC6"/>
    <w:rsid w:val="000404DF"/>
    <w:rsid w:val="00040D27"/>
    <w:rsid w:val="00043E30"/>
    <w:rsid w:val="0004412B"/>
    <w:rsid w:val="000442F8"/>
    <w:rsid w:val="00044FBA"/>
    <w:rsid w:val="0004668C"/>
    <w:rsid w:val="00053A16"/>
    <w:rsid w:val="0005581E"/>
    <w:rsid w:val="00056450"/>
    <w:rsid w:val="000579A7"/>
    <w:rsid w:val="00060225"/>
    <w:rsid w:val="000615BF"/>
    <w:rsid w:val="00061D28"/>
    <w:rsid w:val="0006359C"/>
    <w:rsid w:val="00064E03"/>
    <w:rsid w:val="000659AD"/>
    <w:rsid w:val="00067F54"/>
    <w:rsid w:val="0007076E"/>
    <w:rsid w:val="00071D36"/>
    <w:rsid w:val="0007259C"/>
    <w:rsid w:val="00073A16"/>
    <w:rsid w:val="00075EAD"/>
    <w:rsid w:val="00084A7D"/>
    <w:rsid w:val="000854E8"/>
    <w:rsid w:val="000869B5"/>
    <w:rsid w:val="000A0C61"/>
    <w:rsid w:val="000A15B4"/>
    <w:rsid w:val="000A55BC"/>
    <w:rsid w:val="000A7803"/>
    <w:rsid w:val="000B060A"/>
    <w:rsid w:val="000B0877"/>
    <w:rsid w:val="000B1899"/>
    <w:rsid w:val="000B1DFF"/>
    <w:rsid w:val="000B3420"/>
    <w:rsid w:val="000B580E"/>
    <w:rsid w:val="000B7935"/>
    <w:rsid w:val="000C21B3"/>
    <w:rsid w:val="000C7580"/>
    <w:rsid w:val="000D3D19"/>
    <w:rsid w:val="000D41DB"/>
    <w:rsid w:val="000D560A"/>
    <w:rsid w:val="000D601D"/>
    <w:rsid w:val="000D6D9E"/>
    <w:rsid w:val="000E0BB5"/>
    <w:rsid w:val="000E104B"/>
    <w:rsid w:val="000E17E1"/>
    <w:rsid w:val="000E3A0B"/>
    <w:rsid w:val="000E4DA4"/>
    <w:rsid w:val="000E4DF9"/>
    <w:rsid w:val="000E538B"/>
    <w:rsid w:val="000E64AE"/>
    <w:rsid w:val="000E651C"/>
    <w:rsid w:val="000E749B"/>
    <w:rsid w:val="000F0145"/>
    <w:rsid w:val="000F098A"/>
    <w:rsid w:val="000F15B7"/>
    <w:rsid w:val="000F1CDB"/>
    <w:rsid w:val="000F30F5"/>
    <w:rsid w:val="00101506"/>
    <w:rsid w:val="00103466"/>
    <w:rsid w:val="0010364F"/>
    <w:rsid w:val="00107717"/>
    <w:rsid w:val="00111D6C"/>
    <w:rsid w:val="001131C9"/>
    <w:rsid w:val="001142D8"/>
    <w:rsid w:val="00117743"/>
    <w:rsid w:val="00117F5B"/>
    <w:rsid w:val="00122FDD"/>
    <w:rsid w:val="00124CF6"/>
    <w:rsid w:val="00126ADB"/>
    <w:rsid w:val="00126D4D"/>
    <w:rsid w:val="00126E8C"/>
    <w:rsid w:val="00130420"/>
    <w:rsid w:val="00130A32"/>
    <w:rsid w:val="00130BC5"/>
    <w:rsid w:val="001324D8"/>
    <w:rsid w:val="00133C4A"/>
    <w:rsid w:val="00133F92"/>
    <w:rsid w:val="0013540A"/>
    <w:rsid w:val="00135D59"/>
    <w:rsid w:val="00140618"/>
    <w:rsid w:val="0014511E"/>
    <w:rsid w:val="00146905"/>
    <w:rsid w:val="00150B00"/>
    <w:rsid w:val="00151307"/>
    <w:rsid w:val="001517D8"/>
    <w:rsid w:val="00151F16"/>
    <w:rsid w:val="00152926"/>
    <w:rsid w:val="00154570"/>
    <w:rsid w:val="00155E7F"/>
    <w:rsid w:val="00161118"/>
    <w:rsid w:val="001621A8"/>
    <w:rsid w:val="001636FF"/>
    <w:rsid w:val="001638F6"/>
    <w:rsid w:val="00164143"/>
    <w:rsid w:val="00165090"/>
    <w:rsid w:val="00165234"/>
    <w:rsid w:val="00166A6F"/>
    <w:rsid w:val="001670DC"/>
    <w:rsid w:val="00167A9A"/>
    <w:rsid w:val="001722F5"/>
    <w:rsid w:val="00174A2C"/>
    <w:rsid w:val="0017512B"/>
    <w:rsid w:val="0017601D"/>
    <w:rsid w:val="001763F6"/>
    <w:rsid w:val="00177144"/>
    <w:rsid w:val="0017745B"/>
    <w:rsid w:val="00180106"/>
    <w:rsid w:val="00182ABD"/>
    <w:rsid w:val="00182B25"/>
    <w:rsid w:val="00184F9F"/>
    <w:rsid w:val="00185179"/>
    <w:rsid w:val="00185896"/>
    <w:rsid w:val="001876E1"/>
    <w:rsid w:val="001908CB"/>
    <w:rsid w:val="00193F48"/>
    <w:rsid w:val="001956E5"/>
    <w:rsid w:val="001A2B7F"/>
    <w:rsid w:val="001A745B"/>
    <w:rsid w:val="001B00E6"/>
    <w:rsid w:val="001B15D4"/>
    <w:rsid w:val="001B260A"/>
    <w:rsid w:val="001B2BB8"/>
    <w:rsid w:val="001C207A"/>
    <w:rsid w:val="001C269D"/>
    <w:rsid w:val="001C40CB"/>
    <w:rsid w:val="001C455F"/>
    <w:rsid w:val="001C4717"/>
    <w:rsid w:val="001D12B2"/>
    <w:rsid w:val="001D1F24"/>
    <w:rsid w:val="001D2E8A"/>
    <w:rsid w:val="001D35FC"/>
    <w:rsid w:val="001D3862"/>
    <w:rsid w:val="001D45A6"/>
    <w:rsid w:val="001D49FA"/>
    <w:rsid w:val="001D634D"/>
    <w:rsid w:val="001D6766"/>
    <w:rsid w:val="001D705C"/>
    <w:rsid w:val="001D7507"/>
    <w:rsid w:val="001E20B3"/>
    <w:rsid w:val="001E210A"/>
    <w:rsid w:val="001E24DF"/>
    <w:rsid w:val="001E2AD4"/>
    <w:rsid w:val="001E2F4C"/>
    <w:rsid w:val="001E448A"/>
    <w:rsid w:val="001E56E7"/>
    <w:rsid w:val="001E57B1"/>
    <w:rsid w:val="001E5ECE"/>
    <w:rsid w:val="001E6202"/>
    <w:rsid w:val="001E733D"/>
    <w:rsid w:val="001F139B"/>
    <w:rsid w:val="001F2613"/>
    <w:rsid w:val="001F2D6E"/>
    <w:rsid w:val="001F43C8"/>
    <w:rsid w:val="00200DD8"/>
    <w:rsid w:val="00201C61"/>
    <w:rsid w:val="00201E75"/>
    <w:rsid w:val="00210858"/>
    <w:rsid w:val="00210D7D"/>
    <w:rsid w:val="00210FE8"/>
    <w:rsid w:val="00213202"/>
    <w:rsid w:val="002148D6"/>
    <w:rsid w:val="00215E49"/>
    <w:rsid w:val="00216963"/>
    <w:rsid w:val="00216FF6"/>
    <w:rsid w:val="00217097"/>
    <w:rsid w:val="002213F4"/>
    <w:rsid w:val="00221DE7"/>
    <w:rsid w:val="002229A7"/>
    <w:rsid w:val="002235AC"/>
    <w:rsid w:val="002258B7"/>
    <w:rsid w:val="0022771E"/>
    <w:rsid w:val="0023044D"/>
    <w:rsid w:val="002346FA"/>
    <w:rsid w:val="002351EA"/>
    <w:rsid w:val="00235AAC"/>
    <w:rsid w:val="00237F86"/>
    <w:rsid w:val="00241237"/>
    <w:rsid w:val="00241DF6"/>
    <w:rsid w:val="002428D7"/>
    <w:rsid w:val="00243238"/>
    <w:rsid w:val="002433EE"/>
    <w:rsid w:val="00245705"/>
    <w:rsid w:val="00245BB2"/>
    <w:rsid w:val="00245F3E"/>
    <w:rsid w:val="00246A27"/>
    <w:rsid w:val="00250E2B"/>
    <w:rsid w:val="00251E76"/>
    <w:rsid w:val="00251F8A"/>
    <w:rsid w:val="00252C5D"/>
    <w:rsid w:val="00254570"/>
    <w:rsid w:val="00255F0F"/>
    <w:rsid w:val="002572CC"/>
    <w:rsid w:val="00260F8A"/>
    <w:rsid w:val="00263C8B"/>
    <w:rsid w:val="00265121"/>
    <w:rsid w:val="002658E5"/>
    <w:rsid w:val="0026593F"/>
    <w:rsid w:val="00266BFB"/>
    <w:rsid w:val="00267AD3"/>
    <w:rsid w:val="0027151A"/>
    <w:rsid w:val="00272D80"/>
    <w:rsid w:val="0027334F"/>
    <w:rsid w:val="0027411A"/>
    <w:rsid w:val="00274F1C"/>
    <w:rsid w:val="00275213"/>
    <w:rsid w:val="0027619B"/>
    <w:rsid w:val="00276583"/>
    <w:rsid w:val="0027738B"/>
    <w:rsid w:val="002773BD"/>
    <w:rsid w:val="0028054F"/>
    <w:rsid w:val="00285D89"/>
    <w:rsid w:val="00287AF9"/>
    <w:rsid w:val="00287CA3"/>
    <w:rsid w:val="002908B1"/>
    <w:rsid w:val="00292F52"/>
    <w:rsid w:val="00293A72"/>
    <w:rsid w:val="0029622A"/>
    <w:rsid w:val="00296617"/>
    <w:rsid w:val="00297A55"/>
    <w:rsid w:val="00297D97"/>
    <w:rsid w:val="002A061A"/>
    <w:rsid w:val="002A25A5"/>
    <w:rsid w:val="002A2C94"/>
    <w:rsid w:val="002A57F2"/>
    <w:rsid w:val="002A76A8"/>
    <w:rsid w:val="002A78C8"/>
    <w:rsid w:val="002B1E78"/>
    <w:rsid w:val="002B294E"/>
    <w:rsid w:val="002B5AF3"/>
    <w:rsid w:val="002B5C32"/>
    <w:rsid w:val="002C1B47"/>
    <w:rsid w:val="002C220F"/>
    <w:rsid w:val="002C3C6A"/>
    <w:rsid w:val="002C4C59"/>
    <w:rsid w:val="002C6633"/>
    <w:rsid w:val="002C71B0"/>
    <w:rsid w:val="002C7DAF"/>
    <w:rsid w:val="002D1824"/>
    <w:rsid w:val="002D1DC9"/>
    <w:rsid w:val="002D213F"/>
    <w:rsid w:val="002D348C"/>
    <w:rsid w:val="002D385E"/>
    <w:rsid w:val="002D3951"/>
    <w:rsid w:val="002D7211"/>
    <w:rsid w:val="002E1818"/>
    <w:rsid w:val="002E3B83"/>
    <w:rsid w:val="002E4182"/>
    <w:rsid w:val="002E5FD2"/>
    <w:rsid w:val="002E6C40"/>
    <w:rsid w:val="002F2885"/>
    <w:rsid w:val="002F3431"/>
    <w:rsid w:val="002F4505"/>
    <w:rsid w:val="002F74F3"/>
    <w:rsid w:val="00300680"/>
    <w:rsid w:val="00303231"/>
    <w:rsid w:val="003041B9"/>
    <w:rsid w:val="0030422F"/>
    <w:rsid w:val="00304540"/>
    <w:rsid w:val="0030597A"/>
    <w:rsid w:val="00310B65"/>
    <w:rsid w:val="00311DF6"/>
    <w:rsid w:val="00312135"/>
    <w:rsid w:val="00316546"/>
    <w:rsid w:val="00317120"/>
    <w:rsid w:val="00323EE7"/>
    <w:rsid w:val="0032424B"/>
    <w:rsid w:val="00332338"/>
    <w:rsid w:val="003366A7"/>
    <w:rsid w:val="00340D61"/>
    <w:rsid w:val="00342283"/>
    <w:rsid w:val="0034463B"/>
    <w:rsid w:val="00345674"/>
    <w:rsid w:val="0034713C"/>
    <w:rsid w:val="00347759"/>
    <w:rsid w:val="00347CBD"/>
    <w:rsid w:val="00351EEE"/>
    <w:rsid w:val="00353631"/>
    <w:rsid w:val="00354B19"/>
    <w:rsid w:val="00354E47"/>
    <w:rsid w:val="00355DF9"/>
    <w:rsid w:val="003570B3"/>
    <w:rsid w:val="00361351"/>
    <w:rsid w:val="00362D35"/>
    <w:rsid w:val="00364440"/>
    <w:rsid w:val="0036601D"/>
    <w:rsid w:val="0037104E"/>
    <w:rsid w:val="003734C3"/>
    <w:rsid w:val="00374944"/>
    <w:rsid w:val="003758FE"/>
    <w:rsid w:val="00375DE4"/>
    <w:rsid w:val="003825D3"/>
    <w:rsid w:val="00382995"/>
    <w:rsid w:val="0038557A"/>
    <w:rsid w:val="003866D3"/>
    <w:rsid w:val="00387390"/>
    <w:rsid w:val="003875F3"/>
    <w:rsid w:val="00394AAF"/>
    <w:rsid w:val="00395960"/>
    <w:rsid w:val="00395A28"/>
    <w:rsid w:val="003967A2"/>
    <w:rsid w:val="003B0A8E"/>
    <w:rsid w:val="003B2421"/>
    <w:rsid w:val="003B2CBC"/>
    <w:rsid w:val="003B2E21"/>
    <w:rsid w:val="003B728B"/>
    <w:rsid w:val="003B78AD"/>
    <w:rsid w:val="003B7AD5"/>
    <w:rsid w:val="003C162C"/>
    <w:rsid w:val="003C1C04"/>
    <w:rsid w:val="003C28E8"/>
    <w:rsid w:val="003C2B69"/>
    <w:rsid w:val="003C445E"/>
    <w:rsid w:val="003C5418"/>
    <w:rsid w:val="003C710A"/>
    <w:rsid w:val="003C77AD"/>
    <w:rsid w:val="003C7ADC"/>
    <w:rsid w:val="003D1543"/>
    <w:rsid w:val="003D2E72"/>
    <w:rsid w:val="003D3A62"/>
    <w:rsid w:val="003D44B4"/>
    <w:rsid w:val="003D5DCE"/>
    <w:rsid w:val="003E1BE5"/>
    <w:rsid w:val="003E317B"/>
    <w:rsid w:val="003E3300"/>
    <w:rsid w:val="003E36E9"/>
    <w:rsid w:val="003E5927"/>
    <w:rsid w:val="003E609D"/>
    <w:rsid w:val="003F0015"/>
    <w:rsid w:val="003F00F5"/>
    <w:rsid w:val="003F0BAA"/>
    <w:rsid w:val="003F11FB"/>
    <w:rsid w:val="003F486A"/>
    <w:rsid w:val="003F494D"/>
    <w:rsid w:val="003F6135"/>
    <w:rsid w:val="003F7670"/>
    <w:rsid w:val="003F7E04"/>
    <w:rsid w:val="00400524"/>
    <w:rsid w:val="0040055B"/>
    <w:rsid w:val="0040077F"/>
    <w:rsid w:val="0040222A"/>
    <w:rsid w:val="00402416"/>
    <w:rsid w:val="00404201"/>
    <w:rsid w:val="004047BC"/>
    <w:rsid w:val="00404B85"/>
    <w:rsid w:val="00404E23"/>
    <w:rsid w:val="00407CDD"/>
    <w:rsid w:val="004100EE"/>
    <w:rsid w:val="00410CF8"/>
    <w:rsid w:val="00411361"/>
    <w:rsid w:val="00411611"/>
    <w:rsid w:val="00411840"/>
    <w:rsid w:val="00412C0B"/>
    <w:rsid w:val="00412C83"/>
    <w:rsid w:val="00414931"/>
    <w:rsid w:val="0041607F"/>
    <w:rsid w:val="00420C06"/>
    <w:rsid w:val="0042197E"/>
    <w:rsid w:val="0042205C"/>
    <w:rsid w:val="004234C6"/>
    <w:rsid w:val="00424929"/>
    <w:rsid w:val="00426112"/>
    <w:rsid w:val="004264A4"/>
    <w:rsid w:val="00426E25"/>
    <w:rsid w:val="00427C59"/>
    <w:rsid w:val="00430853"/>
    <w:rsid w:val="00431A45"/>
    <w:rsid w:val="00431EDD"/>
    <w:rsid w:val="0043279F"/>
    <w:rsid w:val="00433013"/>
    <w:rsid w:val="00434174"/>
    <w:rsid w:val="0043466A"/>
    <w:rsid w:val="00434D11"/>
    <w:rsid w:val="00437812"/>
    <w:rsid w:val="00437E07"/>
    <w:rsid w:val="00440F9D"/>
    <w:rsid w:val="00443399"/>
    <w:rsid w:val="00445BD5"/>
    <w:rsid w:val="00445C93"/>
    <w:rsid w:val="00447DF6"/>
    <w:rsid w:val="00450AB0"/>
    <w:rsid w:val="00452631"/>
    <w:rsid w:val="004569A0"/>
    <w:rsid w:val="004577B5"/>
    <w:rsid w:val="00460F87"/>
    <w:rsid w:val="004611EE"/>
    <w:rsid w:val="00463B20"/>
    <w:rsid w:val="00463FFC"/>
    <w:rsid w:val="0046429B"/>
    <w:rsid w:val="0046715A"/>
    <w:rsid w:val="004672E8"/>
    <w:rsid w:val="00473871"/>
    <w:rsid w:val="00474F76"/>
    <w:rsid w:val="00477017"/>
    <w:rsid w:val="00477E22"/>
    <w:rsid w:val="00483567"/>
    <w:rsid w:val="0048680D"/>
    <w:rsid w:val="00486C99"/>
    <w:rsid w:val="004876CA"/>
    <w:rsid w:val="00487AD0"/>
    <w:rsid w:val="00491FF6"/>
    <w:rsid w:val="004924E5"/>
    <w:rsid w:val="00493927"/>
    <w:rsid w:val="00494B8B"/>
    <w:rsid w:val="0049775F"/>
    <w:rsid w:val="0049776E"/>
    <w:rsid w:val="004979B7"/>
    <w:rsid w:val="004A077E"/>
    <w:rsid w:val="004A097C"/>
    <w:rsid w:val="004A1318"/>
    <w:rsid w:val="004A52A2"/>
    <w:rsid w:val="004A5828"/>
    <w:rsid w:val="004A5AC6"/>
    <w:rsid w:val="004A61D3"/>
    <w:rsid w:val="004A7CC2"/>
    <w:rsid w:val="004B0634"/>
    <w:rsid w:val="004B07AE"/>
    <w:rsid w:val="004B1434"/>
    <w:rsid w:val="004B19DF"/>
    <w:rsid w:val="004B2208"/>
    <w:rsid w:val="004B3E36"/>
    <w:rsid w:val="004B4246"/>
    <w:rsid w:val="004B46BD"/>
    <w:rsid w:val="004B56D0"/>
    <w:rsid w:val="004C12EE"/>
    <w:rsid w:val="004C7007"/>
    <w:rsid w:val="004C713D"/>
    <w:rsid w:val="004C763C"/>
    <w:rsid w:val="004D027D"/>
    <w:rsid w:val="004D0FCF"/>
    <w:rsid w:val="004D48B9"/>
    <w:rsid w:val="004D538E"/>
    <w:rsid w:val="004D720D"/>
    <w:rsid w:val="004D721B"/>
    <w:rsid w:val="004E0FBA"/>
    <w:rsid w:val="004E5D29"/>
    <w:rsid w:val="004F0EAF"/>
    <w:rsid w:val="004F1E1A"/>
    <w:rsid w:val="004F1EA5"/>
    <w:rsid w:val="004F2533"/>
    <w:rsid w:val="004F2CAF"/>
    <w:rsid w:val="004F3A84"/>
    <w:rsid w:val="004F5154"/>
    <w:rsid w:val="004F5FB7"/>
    <w:rsid w:val="004F652B"/>
    <w:rsid w:val="00505753"/>
    <w:rsid w:val="0050585D"/>
    <w:rsid w:val="00506F94"/>
    <w:rsid w:val="00507782"/>
    <w:rsid w:val="00511EDE"/>
    <w:rsid w:val="00511F72"/>
    <w:rsid w:val="0051225A"/>
    <w:rsid w:val="00512505"/>
    <w:rsid w:val="00512972"/>
    <w:rsid w:val="00512A04"/>
    <w:rsid w:val="00512A7D"/>
    <w:rsid w:val="005130C6"/>
    <w:rsid w:val="00513D5B"/>
    <w:rsid w:val="005155E2"/>
    <w:rsid w:val="00516551"/>
    <w:rsid w:val="00516B26"/>
    <w:rsid w:val="00517D7A"/>
    <w:rsid w:val="00521F21"/>
    <w:rsid w:val="00522C01"/>
    <w:rsid w:val="0052441C"/>
    <w:rsid w:val="00525372"/>
    <w:rsid w:val="00525EB8"/>
    <w:rsid w:val="00527205"/>
    <w:rsid w:val="0053163B"/>
    <w:rsid w:val="00533838"/>
    <w:rsid w:val="00535845"/>
    <w:rsid w:val="00541660"/>
    <w:rsid w:val="005427A9"/>
    <w:rsid w:val="0054282D"/>
    <w:rsid w:val="005461F8"/>
    <w:rsid w:val="005462A7"/>
    <w:rsid w:val="00547F8E"/>
    <w:rsid w:val="00550508"/>
    <w:rsid w:val="00550AF5"/>
    <w:rsid w:val="00550F98"/>
    <w:rsid w:val="005518B2"/>
    <w:rsid w:val="00551D26"/>
    <w:rsid w:val="00552DC3"/>
    <w:rsid w:val="00553A18"/>
    <w:rsid w:val="0055446C"/>
    <w:rsid w:val="005570C9"/>
    <w:rsid w:val="00560298"/>
    <w:rsid w:val="00561D35"/>
    <w:rsid w:val="0056302E"/>
    <w:rsid w:val="00563B18"/>
    <w:rsid w:val="005654B8"/>
    <w:rsid w:val="005666BC"/>
    <w:rsid w:val="0056691F"/>
    <w:rsid w:val="00570B59"/>
    <w:rsid w:val="00572CEE"/>
    <w:rsid w:val="00574E3D"/>
    <w:rsid w:val="00576A68"/>
    <w:rsid w:val="00577251"/>
    <w:rsid w:val="005801A9"/>
    <w:rsid w:val="00580505"/>
    <w:rsid w:val="005815E4"/>
    <w:rsid w:val="0058160B"/>
    <w:rsid w:val="005831C3"/>
    <w:rsid w:val="00584F5C"/>
    <w:rsid w:val="00585F4D"/>
    <w:rsid w:val="00590B23"/>
    <w:rsid w:val="00592014"/>
    <w:rsid w:val="00592F52"/>
    <w:rsid w:val="00593372"/>
    <w:rsid w:val="00594956"/>
    <w:rsid w:val="00594C23"/>
    <w:rsid w:val="005969EF"/>
    <w:rsid w:val="00597AB5"/>
    <w:rsid w:val="00597C89"/>
    <w:rsid w:val="005A1BB1"/>
    <w:rsid w:val="005A5846"/>
    <w:rsid w:val="005A5D0C"/>
    <w:rsid w:val="005A6553"/>
    <w:rsid w:val="005A748C"/>
    <w:rsid w:val="005A7A8F"/>
    <w:rsid w:val="005B05F2"/>
    <w:rsid w:val="005B46D4"/>
    <w:rsid w:val="005B4B80"/>
    <w:rsid w:val="005B56DB"/>
    <w:rsid w:val="005B5AC2"/>
    <w:rsid w:val="005B77FD"/>
    <w:rsid w:val="005C1413"/>
    <w:rsid w:val="005C23DD"/>
    <w:rsid w:val="005C57DE"/>
    <w:rsid w:val="005C7908"/>
    <w:rsid w:val="005C7A0F"/>
    <w:rsid w:val="005D0950"/>
    <w:rsid w:val="005D0BD0"/>
    <w:rsid w:val="005D269A"/>
    <w:rsid w:val="005D282C"/>
    <w:rsid w:val="005D4872"/>
    <w:rsid w:val="005D7117"/>
    <w:rsid w:val="005D79A4"/>
    <w:rsid w:val="005E1B33"/>
    <w:rsid w:val="005E1E0F"/>
    <w:rsid w:val="005E2C93"/>
    <w:rsid w:val="005E2F53"/>
    <w:rsid w:val="005E540C"/>
    <w:rsid w:val="005E5CCB"/>
    <w:rsid w:val="005E6AF0"/>
    <w:rsid w:val="005E74DB"/>
    <w:rsid w:val="005E7EDB"/>
    <w:rsid w:val="005F175A"/>
    <w:rsid w:val="005F64BB"/>
    <w:rsid w:val="005F764E"/>
    <w:rsid w:val="005F7C4C"/>
    <w:rsid w:val="006005D1"/>
    <w:rsid w:val="006014BA"/>
    <w:rsid w:val="00602380"/>
    <w:rsid w:val="00602879"/>
    <w:rsid w:val="0060515E"/>
    <w:rsid w:val="0060545C"/>
    <w:rsid w:val="006069F5"/>
    <w:rsid w:val="00611486"/>
    <w:rsid w:val="00612582"/>
    <w:rsid w:val="0061355B"/>
    <w:rsid w:val="0061359F"/>
    <w:rsid w:val="006152DB"/>
    <w:rsid w:val="006154AA"/>
    <w:rsid w:val="0061573B"/>
    <w:rsid w:val="00615886"/>
    <w:rsid w:val="00616E7F"/>
    <w:rsid w:val="0061753C"/>
    <w:rsid w:val="0062147A"/>
    <w:rsid w:val="0062572E"/>
    <w:rsid w:val="00625C16"/>
    <w:rsid w:val="006260E5"/>
    <w:rsid w:val="006263E6"/>
    <w:rsid w:val="006275AA"/>
    <w:rsid w:val="006275F1"/>
    <w:rsid w:val="006279A6"/>
    <w:rsid w:val="006304B7"/>
    <w:rsid w:val="00630CB2"/>
    <w:rsid w:val="00631EB0"/>
    <w:rsid w:val="00631FB1"/>
    <w:rsid w:val="006324C4"/>
    <w:rsid w:val="00634329"/>
    <w:rsid w:val="00634FB0"/>
    <w:rsid w:val="00640FC1"/>
    <w:rsid w:val="006436BA"/>
    <w:rsid w:val="00645DA5"/>
    <w:rsid w:val="00645E71"/>
    <w:rsid w:val="006471CC"/>
    <w:rsid w:val="006474B6"/>
    <w:rsid w:val="00647786"/>
    <w:rsid w:val="00647D2D"/>
    <w:rsid w:val="00650B6E"/>
    <w:rsid w:val="00650F5B"/>
    <w:rsid w:val="006523D1"/>
    <w:rsid w:val="00652E1F"/>
    <w:rsid w:val="00654717"/>
    <w:rsid w:val="00654DF2"/>
    <w:rsid w:val="00655FD4"/>
    <w:rsid w:val="006572D5"/>
    <w:rsid w:val="0065784C"/>
    <w:rsid w:val="006621DD"/>
    <w:rsid w:val="00662570"/>
    <w:rsid w:val="006640BD"/>
    <w:rsid w:val="00664D41"/>
    <w:rsid w:val="006657E7"/>
    <w:rsid w:val="006702FB"/>
    <w:rsid w:val="00670515"/>
    <w:rsid w:val="00671027"/>
    <w:rsid w:val="006719EA"/>
    <w:rsid w:val="00672C12"/>
    <w:rsid w:val="00672CD7"/>
    <w:rsid w:val="0067372C"/>
    <w:rsid w:val="0067397A"/>
    <w:rsid w:val="00680C00"/>
    <w:rsid w:val="0068175A"/>
    <w:rsid w:val="0068187F"/>
    <w:rsid w:val="00682927"/>
    <w:rsid w:val="0068303D"/>
    <w:rsid w:val="00683294"/>
    <w:rsid w:val="006833F8"/>
    <w:rsid w:val="00686F2E"/>
    <w:rsid w:val="00687540"/>
    <w:rsid w:val="006927B6"/>
    <w:rsid w:val="00692D3C"/>
    <w:rsid w:val="00694D69"/>
    <w:rsid w:val="006958D1"/>
    <w:rsid w:val="006A1065"/>
    <w:rsid w:val="006A4BCB"/>
    <w:rsid w:val="006A4D0F"/>
    <w:rsid w:val="006A4E60"/>
    <w:rsid w:val="006A7141"/>
    <w:rsid w:val="006A769B"/>
    <w:rsid w:val="006B1CC9"/>
    <w:rsid w:val="006B382E"/>
    <w:rsid w:val="006B3D31"/>
    <w:rsid w:val="006B4C60"/>
    <w:rsid w:val="006B61CA"/>
    <w:rsid w:val="006B64E6"/>
    <w:rsid w:val="006B6E2A"/>
    <w:rsid w:val="006B7018"/>
    <w:rsid w:val="006B799A"/>
    <w:rsid w:val="006B7A4C"/>
    <w:rsid w:val="006C0AF6"/>
    <w:rsid w:val="006C391B"/>
    <w:rsid w:val="006C3A7E"/>
    <w:rsid w:val="006C5A41"/>
    <w:rsid w:val="006D08A8"/>
    <w:rsid w:val="006D3B70"/>
    <w:rsid w:val="006D420E"/>
    <w:rsid w:val="006D4508"/>
    <w:rsid w:val="006D475B"/>
    <w:rsid w:val="006D47EC"/>
    <w:rsid w:val="006D4B85"/>
    <w:rsid w:val="006D4DE4"/>
    <w:rsid w:val="006D5C21"/>
    <w:rsid w:val="006D6C8C"/>
    <w:rsid w:val="006E180F"/>
    <w:rsid w:val="006E1D8F"/>
    <w:rsid w:val="006E2015"/>
    <w:rsid w:val="006E4843"/>
    <w:rsid w:val="006F18EB"/>
    <w:rsid w:val="006F2650"/>
    <w:rsid w:val="006F300D"/>
    <w:rsid w:val="006F5626"/>
    <w:rsid w:val="006F62AB"/>
    <w:rsid w:val="006F7028"/>
    <w:rsid w:val="0070148C"/>
    <w:rsid w:val="00702E8A"/>
    <w:rsid w:val="00704304"/>
    <w:rsid w:val="00704FDF"/>
    <w:rsid w:val="00705033"/>
    <w:rsid w:val="00707250"/>
    <w:rsid w:val="007114A5"/>
    <w:rsid w:val="007129BD"/>
    <w:rsid w:val="00720A97"/>
    <w:rsid w:val="00722DDB"/>
    <w:rsid w:val="00723F24"/>
    <w:rsid w:val="0072442A"/>
    <w:rsid w:val="00724C2A"/>
    <w:rsid w:val="007256BE"/>
    <w:rsid w:val="007329D1"/>
    <w:rsid w:val="00734655"/>
    <w:rsid w:val="007347F9"/>
    <w:rsid w:val="007369AC"/>
    <w:rsid w:val="00736B15"/>
    <w:rsid w:val="00736E66"/>
    <w:rsid w:val="0073718F"/>
    <w:rsid w:val="0073786A"/>
    <w:rsid w:val="007408F5"/>
    <w:rsid w:val="00742D33"/>
    <w:rsid w:val="00744354"/>
    <w:rsid w:val="00746FDD"/>
    <w:rsid w:val="00751BE4"/>
    <w:rsid w:val="00754286"/>
    <w:rsid w:val="007560E9"/>
    <w:rsid w:val="0075632B"/>
    <w:rsid w:val="00757E9E"/>
    <w:rsid w:val="00762C0F"/>
    <w:rsid w:val="0076350D"/>
    <w:rsid w:val="00763ECE"/>
    <w:rsid w:val="0076484E"/>
    <w:rsid w:val="00764C50"/>
    <w:rsid w:val="00765892"/>
    <w:rsid w:val="00765AE6"/>
    <w:rsid w:val="00770969"/>
    <w:rsid w:val="007709BE"/>
    <w:rsid w:val="007715C1"/>
    <w:rsid w:val="00772AE4"/>
    <w:rsid w:val="00775AA2"/>
    <w:rsid w:val="007766EF"/>
    <w:rsid w:val="007829C3"/>
    <w:rsid w:val="00782AF9"/>
    <w:rsid w:val="00784020"/>
    <w:rsid w:val="00785087"/>
    <w:rsid w:val="00785B22"/>
    <w:rsid w:val="0078686F"/>
    <w:rsid w:val="0079238B"/>
    <w:rsid w:val="00792CC2"/>
    <w:rsid w:val="00793F72"/>
    <w:rsid w:val="00795399"/>
    <w:rsid w:val="007966AB"/>
    <w:rsid w:val="007A0714"/>
    <w:rsid w:val="007A0F9B"/>
    <w:rsid w:val="007A3CF0"/>
    <w:rsid w:val="007A3E91"/>
    <w:rsid w:val="007A568A"/>
    <w:rsid w:val="007A5DB7"/>
    <w:rsid w:val="007A62F6"/>
    <w:rsid w:val="007A6554"/>
    <w:rsid w:val="007A6B47"/>
    <w:rsid w:val="007A7D98"/>
    <w:rsid w:val="007B05FA"/>
    <w:rsid w:val="007B2A4D"/>
    <w:rsid w:val="007B5415"/>
    <w:rsid w:val="007C0490"/>
    <w:rsid w:val="007C3DB6"/>
    <w:rsid w:val="007C403D"/>
    <w:rsid w:val="007C7788"/>
    <w:rsid w:val="007C7ECC"/>
    <w:rsid w:val="007D0C17"/>
    <w:rsid w:val="007D1A0C"/>
    <w:rsid w:val="007D28C0"/>
    <w:rsid w:val="007D304A"/>
    <w:rsid w:val="007D42E6"/>
    <w:rsid w:val="007D461E"/>
    <w:rsid w:val="007D529D"/>
    <w:rsid w:val="007D55DF"/>
    <w:rsid w:val="007D69F6"/>
    <w:rsid w:val="007D712D"/>
    <w:rsid w:val="007D7594"/>
    <w:rsid w:val="007D7D16"/>
    <w:rsid w:val="007D7E7C"/>
    <w:rsid w:val="007E0F07"/>
    <w:rsid w:val="007E1AB8"/>
    <w:rsid w:val="007E26F6"/>
    <w:rsid w:val="007E3A16"/>
    <w:rsid w:val="007E4A26"/>
    <w:rsid w:val="007E6B32"/>
    <w:rsid w:val="007E737A"/>
    <w:rsid w:val="007E7E3A"/>
    <w:rsid w:val="007F23E7"/>
    <w:rsid w:val="007F2AEA"/>
    <w:rsid w:val="007F332F"/>
    <w:rsid w:val="007F3C17"/>
    <w:rsid w:val="007F5A65"/>
    <w:rsid w:val="007F6E06"/>
    <w:rsid w:val="00800CDB"/>
    <w:rsid w:val="0080184A"/>
    <w:rsid w:val="00801CB8"/>
    <w:rsid w:val="008038E0"/>
    <w:rsid w:val="00804603"/>
    <w:rsid w:val="00805151"/>
    <w:rsid w:val="008054B6"/>
    <w:rsid w:val="00806388"/>
    <w:rsid w:val="00806800"/>
    <w:rsid w:val="0081206B"/>
    <w:rsid w:val="00813452"/>
    <w:rsid w:val="0081478A"/>
    <w:rsid w:val="00821EA2"/>
    <w:rsid w:val="00822027"/>
    <w:rsid w:val="0082325A"/>
    <w:rsid w:val="0082401B"/>
    <w:rsid w:val="008241F6"/>
    <w:rsid w:val="008249DC"/>
    <w:rsid w:val="0082601D"/>
    <w:rsid w:val="0082717D"/>
    <w:rsid w:val="008277A1"/>
    <w:rsid w:val="008301A9"/>
    <w:rsid w:val="008313C4"/>
    <w:rsid w:val="0083390A"/>
    <w:rsid w:val="00834F58"/>
    <w:rsid w:val="008355B2"/>
    <w:rsid w:val="00835AF2"/>
    <w:rsid w:val="00835CB5"/>
    <w:rsid w:val="00835D1C"/>
    <w:rsid w:val="00836C72"/>
    <w:rsid w:val="00840B05"/>
    <w:rsid w:val="00844732"/>
    <w:rsid w:val="00845863"/>
    <w:rsid w:val="0084657A"/>
    <w:rsid w:val="00846B4F"/>
    <w:rsid w:val="0085054C"/>
    <w:rsid w:val="00850AA7"/>
    <w:rsid w:val="00852719"/>
    <w:rsid w:val="00852E5F"/>
    <w:rsid w:val="00852EDD"/>
    <w:rsid w:val="00853B3C"/>
    <w:rsid w:val="00854435"/>
    <w:rsid w:val="00855D46"/>
    <w:rsid w:val="008575BE"/>
    <w:rsid w:val="00861DC3"/>
    <w:rsid w:val="00862018"/>
    <w:rsid w:val="00864CBF"/>
    <w:rsid w:val="00864F8C"/>
    <w:rsid w:val="00865F2C"/>
    <w:rsid w:val="00866DAC"/>
    <w:rsid w:val="00867316"/>
    <w:rsid w:val="00870C10"/>
    <w:rsid w:val="008717DE"/>
    <w:rsid w:val="00875B49"/>
    <w:rsid w:val="0087782D"/>
    <w:rsid w:val="00877C1A"/>
    <w:rsid w:val="008833A8"/>
    <w:rsid w:val="00883E1E"/>
    <w:rsid w:val="00887F39"/>
    <w:rsid w:val="00892CF2"/>
    <w:rsid w:val="008930D1"/>
    <w:rsid w:val="008937BA"/>
    <w:rsid w:val="00896957"/>
    <w:rsid w:val="0089705F"/>
    <w:rsid w:val="008A1D01"/>
    <w:rsid w:val="008A4564"/>
    <w:rsid w:val="008A5871"/>
    <w:rsid w:val="008B1EA4"/>
    <w:rsid w:val="008B3B08"/>
    <w:rsid w:val="008B4B23"/>
    <w:rsid w:val="008C0C6F"/>
    <w:rsid w:val="008C1A71"/>
    <w:rsid w:val="008C1FC0"/>
    <w:rsid w:val="008C6D9A"/>
    <w:rsid w:val="008D13D6"/>
    <w:rsid w:val="008D1BA7"/>
    <w:rsid w:val="008D442A"/>
    <w:rsid w:val="008D4775"/>
    <w:rsid w:val="008D6055"/>
    <w:rsid w:val="008D72B1"/>
    <w:rsid w:val="008E2CDC"/>
    <w:rsid w:val="008E60BF"/>
    <w:rsid w:val="008E7E0B"/>
    <w:rsid w:val="008F1983"/>
    <w:rsid w:val="008F28BF"/>
    <w:rsid w:val="008F3302"/>
    <w:rsid w:val="008F3330"/>
    <w:rsid w:val="008F35D9"/>
    <w:rsid w:val="008F3628"/>
    <w:rsid w:val="008F38F0"/>
    <w:rsid w:val="008F7F52"/>
    <w:rsid w:val="009010B1"/>
    <w:rsid w:val="0090170E"/>
    <w:rsid w:val="009036A6"/>
    <w:rsid w:val="00906644"/>
    <w:rsid w:val="00906899"/>
    <w:rsid w:val="00907139"/>
    <w:rsid w:val="009138C5"/>
    <w:rsid w:val="00914396"/>
    <w:rsid w:val="00914800"/>
    <w:rsid w:val="00915310"/>
    <w:rsid w:val="00921BCE"/>
    <w:rsid w:val="00923708"/>
    <w:rsid w:val="00923A95"/>
    <w:rsid w:val="00924876"/>
    <w:rsid w:val="00926487"/>
    <w:rsid w:val="00926C76"/>
    <w:rsid w:val="00933F01"/>
    <w:rsid w:val="0093401B"/>
    <w:rsid w:val="009344A6"/>
    <w:rsid w:val="00940119"/>
    <w:rsid w:val="00944496"/>
    <w:rsid w:val="00946871"/>
    <w:rsid w:val="00946C50"/>
    <w:rsid w:val="0094747D"/>
    <w:rsid w:val="00950B1F"/>
    <w:rsid w:val="009538A9"/>
    <w:rsid w:val="009538CF"/>
    <w:rsid w:val="00953F7D"/>
    <w:rsid w:val="009568B9"/>
    <w:rsid w:val="009616C8"/>
    <w:rsid w:val="009616DF"/>
    <w:rsid w:val="00963CF6"/>
    <w:rsid w:val="00964F84"/>
    <w:rsid w:val="0096514E"/>
    <w:rsid w:val="0096528F"/>
    <w:rsid w:val="00965661"/>
    <w:rsid w:val="00971B34"/>
    <w:rsid w:val="00972C7B"/>
    <w:rsid w:val="009763AB"/>
    <w:rsid w:val="00977F3C"/>
    <w:rsid w:val="009870CB"/>
    <w:rsid w:val="00990EDF"/>
    <w:rsid w:val="00993950"/>
    <w:rsid w:val="00993C8E"/>
    <w:rsid w:val="00993F0F"/>
    <w:rsid w:val="00993FB0"/>
    <w:rsid w:val="009941B5"/>
    <w:rsid w:val="00995CFB"/>
    <w:rsid w:val="00997DA5"/>
    <w:rsid w:val="009A12B9"/>
    <w:rsid w:val="009A25A1"/>
    <w:rsid w:val="009A305F"/>
    <w:rsid w:val="009A3ABE"/>
    <w:rsid w:val="009A4BA3"/>
    <w:rsid w:val="009A5297"/>
    <w:rsid w:val="009A58FE"/>
    <w:rsid w:val="009A7587"/>
    <w:rsid w:val="009B20F2"/>
    <w:rsid w:val="009B4EAA"/>
    <w:rsid w:val="009B7113"/>
    <w:rsid w:val="009B77B4"/>
    <w:rsid w:val="009B7DBD"/>
    <w:rsid w:val="009C3F91"/>
    <w:rsid w:val="009C4B3E"/>
    <w:rsid w:val="009D096C"/>
    <w:rsid w:val="009D0EF7"/>
    <w:rsid w:val="009D3051"/>
    <w:rsid w:val="009D3B80"/>
    <w:rsid w:val="009D5A8D"/>
    <w:rsid w:val="009D6559"/>
    <w:rsid w:val="009D78AA"/>
    <w:rsid w:val="009D7F13"/>
    <w:rsid w:val="009E175D"/>
    <w:rsid w:val="009E392B"/>
    <w:rsid w:val="009E4901"/>
    <w:rsid w:val="009E4DEA"/>
    <w:rsid w:val="009E7305"/>
    <w:rsid w:val="009F2E8F"/>
    <w:rsid w:val="009F349A"/>
    <w:rsid w:val="009F6553"/>
    <w:rsid w:val="009F78C8"/>
    <w:rsid w:val="00A0637B"/>
    <w:rsid w:val="00A06744"/>
    <w:rsid w:val="00A06F2A"/>
    <w:rsid w:val="00A1061C"/>
    <w:rsid w:val="00A11735"/>
    <w:rsid w:val="00A1236D"/>
    <w:rsid w:val="00A1265B"/>
    <w:rsid w:val="00A12B76"/>
    <w:rsid w:val="00A17D2E"/>
    <w:rsid w:val="00A2042D"/>
    <w:rsid w:val="00A219CB"/>
    <w:rsid w:val="00A23858"/>
    <w:rsid w:val="00A23E25"/>
    <w:rsid w:val="00A24C50"/>
    <w:rsid w:val="00A25187"/>
    <w:rsid w:val="00A2555B"/>
    <w:rsid w:val="00A2573A"/>
    <w:rsid w:val="00A26419"/>
    <w:rsid w:val="00A337DD"/>
    <w:rsid w:val="00A33E34"/>
    <w:rsid w:val="00A363A4"/>
    <w:rsid w:val="00A363CA"/>
    <w:rsid w:val="00A3739D"/>
    <w:rsid w:val="00A374A4"/>
    <w:rsid w:val="00A37DDA"/>
    <w:rsid w:val="00A411CE"/>
    <w:rsid w:val="00A420F3"/>
    <w:rsid w:val="00A42C19"/>
    <w:rsid w:val="00A42D4E"/>
    <w:rsid w:val="00A45F95"/>
    <w:rsid w:val="00A46F78"/>
    <w:rsid w:val="00A47079"/>
    <w:rsid w:val="00A50834"/>
    <w:rsid w:val="00A511DD"/>
    <w:rsid w:val="00A52864"/>
    <w:rsid w:val="00A53808"/>
    <w:rsid w:val="00A559ED"/>
    <w:rsid w:val="00A55E52"/>
    <w:rsid w:val="00A569CD"/>
    <w:rsid w:val="00A62BB1"/>
    <w:rsid w:val="00A64B76"/>
    <w:rsid w:val="00A66C71"/>
    <w:rsid w:val="00A75017"/>
    <w:rsid w:val="00A76C8F"/>
    <w:rsid w:val="00A7746C"/>
    <w:rsid w:val="00A80DD2"/>
    <w:rsid w:val="00A80DE3"/>
    <w:rsid w:val="00A8105A"/>
    <w:rsid w:val="00A832B8"/>
    <w:rsid w:val="00A833B4"/>
    <w:rsid w:val="00A84CDF"/>
    <w:rsid w:val="00A854C2"/>
    <w:rsid w:val="00A85E23"/>
    <w:rsid w:val="00A86F11"/>
    <w:rsid w:val="00A876CD"/>
    <w:rsid w:val="00A925EC"/>
    <w:rsid w:val="00A935D9"/>
    <w:rsid w:val="00A9508D"/>
    <w:rsid w:val="00A95BEF"/>
    <w:rsid w:val="00A963F5"/>
    <w:rsid w:val="00AA08E1"/>
    <w:rsid w:val="00AA2545"/>
    <w:rsid w:val="00AA4961"/>
    <w:rsid w:val="00AA4A89"/>
    <w:rsid w:val="00AC21BA"/>
    <w:rsid w:val="00AC279B"/>
    <w:rsid w:val="00AC3139"/>
    <w:rsid w:val="00AC3D7C"/>
    <w:rsid w:val="00AC710E"/>
    <w:rsid w:val="00AD0EFE"/>
    <w:rsid w:val="00AD1DE2"/>
    <w:rsid w:val="00AD227A"/>
    <w:rsid w:val="00AD36F6"/>
    <w:rsid w:val="00AD55EA"/>
    <w:rsid w:val="00AD7974"/>
    <w:rsid w:val="00AE091A"/>
    <w:rsid w:val="00AE0E74"/>
    <w:rsid w:val="00AE2599"/>
    <w:rsid w:val="00AE3413"/>
    <w:rsid w:val="00AE4BDC"/>
    <w:rsid w:val="00AE7EAD"/>
    <w:rsid w:val="00AF0AA6"/>
    <w:rsid w:val="00AF113B"/>
    <w:rsid w:val="00AF2DE6"/>
    <w:rsid w:val="00AF2EE7"/>
    <w:rsid w:val="00AF337E"/>
    <w:rsid w:val="00AF3FDB"/>
    <w:rsid w:val="00AF4B93"/>
    <w:rsid w:val="00AF4C76"/>
    <w:rsid w:val="00AF5CC4"/>
    <w:rsid w:val="00AF6F73"/>
    <w:rsid w:val="00AF7BB4"/>
    <w:rsid w:val="00B00AD0"/>
    <w:rsid w:val="00B00EFA"/>
    <w:rsid w:val="00B023A1"/>
    <w:rsid w:val="00B0265B"/>
    <w:rsid w:val="00B038EE"/>
    <w:rsid w:val="00B03CC2"/>
    <w:rsid w:val="00B041E8"/>
    <w:rsid w:val="00B04D22"/>
    <w:rsid w:val="00B06005"/>
    <w:rsid w:val="00B10664"/>
    <w:rsid w:val="00B116AC"/>
    <w:rsid w:val="00B11A58"/>
    <w:rsid w:val="00B11E51"/>
    <w:rsid w:val="00B12CC2"/>
    <w:rsid w:val="00B13EFC"/>
    <w:rsid w:val="00B144FA"/>
    <w:rsid w:val="00B14902"/>
    <w:rsid w:val="00B16A56"/>
    <w:rsid w:val="00B17BCA"/>
    <w:rsid w:val="00B2231E"/>
    <w:rsid w:val="00B2458D"/>
    <w:rsid w:val="00B261AE"/>
    <w:rsid w:val="00B26CAF"/>
    <w:rsid w:val="00B26D8C"/>
    <w:rsid w:val="00B308A7"/>
    <w:rsid w:val="00B31014"/>
    <w:rsid w:val="00B343CC"/>
    <w:rsid w:val="00B347B2"/>
    <w:rsid w:val="00B36316"/>
    <w:rsid w:val="00B371FF"/>
    <w:rsid w:val="00B3730C"/>
    <w:rsid w:val="00B37BFA"/>
    <w:rsid w:val="00B4014C"/>
    <w:rsid w:val="00B42873"/>
    <w:rsid w:val="00B43121"/>
    <w:rsid w:val="00B4337D"/>
    <w:rsid w:val="00B43B6F"/>
    <w:rsid w:val="00B4731B"/>
    <w:rsid w:val="00B50A92"/>
    <w:rsid w:val="00B52FFB"/>
    <w:rsid w:val="00B548F1"/>
    <w:rsid w:val="00B54983"/>
    <w:rsid w:val="00B56920"/>
    <w:rsid w:val="00B56DE2"/>
    <w:rsid w:val="00B611F9"/>
    <w:rsid w:val="00B61936"/>
    <w:rsid w:val="00B61B26"/>
    <w:rsid w:val="00B63068"/>
    <w:rsid w:val="00B63BB8"/>
    <w:rsid w:val="00B66095"/>
    <w:rsid w:val="00B70FB6"/>
    <w:rsid w:val="00B71B73"/>
    <w:rsid w:val="00B7250C"/>
    <w:rsid w:val="00B73CC3"/>
    <w:rsid w:val="00B7558F"/>
    <w:rsid w:val="00B75C45"/>
    <w:rsid w:val="00B773F6"/>
    <w:rsid w:val="00B778B5"/>
    <w:rsid w:val="00B77BF5"/>
    <w:rsid w:val="00B8120F"/>
    <w:rsid w:val="00B81365"/>
    <w:rsid w:val="00B81AA5"/>
    <w:rsid w:val="00B8229A"/>
    <w:rsid w:val="00B826FE"/>
    <w:rsid w:val="00B83B52"/>
    <w:rsid w:val="00B847E6"/>
    <w:rsid w:val="00B8544B"/>
    <w:rsid w:val="00B87039"/>
    <w:rsid w:val="00B87CD7"/>
    <w:rsid w:val="00B87F51"/>
    <w:rsid w:val="00B93D1C"/>
    <w:rsid w:val="00B93EC6"/>
    <w:rsid w:val="00B970EE"/>
    <w:rsid w:val="00BA461D"/>
    <w:rsid w:val="00BA6801"/>
    <w:rsid w:val="00BA762A"/>
    <w:rsid w:val="00BA7675"/>
    <w:rsid w:val="00BB07FC"/>
    <w:rsid w:val="00BB0AC8"/>
    <w:rsid w:val="00BB18BB"/>
    <w:rsid w:val="00BB2406"/>
    <w:rsid w:val="00BB2440"/>
    <w:rsid w:val="00BB42B2"/>
    <w:rsid w:val="00BB548E"/>
    <w:rsid w:val="00BB6464"/>
    <w:rsid w:val="00BC50A2"/>
    <w:rsid w:val="00BC55D0"/>
    <w:rsid w:val="00BC63F2"/>
    <w:rsid w:val="00BC6749"/>
    <w:rsid w:val="00BC6955"/>
    <w:rsid w:val="00BD03DA"/>
    <w:rsid w:val="00BD14CE"/>
    <w:rsid w:val="00BD2F84"/>
    <w:rsid w:val="00BD465A"/>
    <w:rsid w:val="00BD5C1B"/>
    <w:rsid w:val="00BD5D4A"/>
    <w:rsid w:val="00BD63AF"/>
    <w:rsid w:val="00BE101D"/>
    <w:rsid w:val="00BE30B1"/>
    <w:rsid w:val="00BE347F"/>
    <w:rsid w:val="00BE4446"/>
    <w:rsid w:val="00BE4C2A"/>
    <w:rsid w:val="00BE50DF"/>
    <w:rsid w:val="00BE57AE"/>
    <w:rsid w:val="00BE5A3E"/>
    <w:rsid w:val="00BE5EDF"/>
    <w:rsid w:val="00BF0E13"/>
    <w:rsid w:val="00BF4BCF"/>
    <w:rsid w:val="00BF5ADD"/>
    <w:rsid w:val="00BF5DCB"/>
    <w:rsid w:val="00BF5EB6"/>
    <w:rsid w:val="00C00605"/>
    <w:rsid w:val="00C025AE"/>
    <w:rsid w:val="00C110CE"/>
    <w:rsid w:val="00C11249"/>
    <w:rsid w:val="00C13505"/>
    <w:rsid w:val="00C13D0C"/>
    <w:rsid w:val="00C13E9A"/>
    <w:rsid w:val="00C16169"/>
    <w:rsid w:val="00C17111"/>
    <w:rsid w:val="00C205EC"/>
    <w:rsid w:val="00C21F80"/>
    <w:rsid w:val="00C22770"/>
    <w:rsid w:val="00C23BE8"/>
    <w:rsid w:val="00C24495"/>
    <w:rsid w:val="00C32433"/>
    <w:rsid w:val="00C327BF"/>
    <w:rsid w:val="00C32FB6"/>
    <w:rsid w:val="00C355CB"/>
    <w:rsid w:val="00C40754"/>
    <w:rsid w:val="00C40DBF"/>
    <w:rsid w:val="00C42417"/>
    <w:rsid w:val="00C42979"/>
    <w:rsid w:val="00C43455"/>
    <w:rsid w:val="00C470A9"/>
    <w:rsid w:val="00C473B4"/>
    <w:rsid w:val="00C50AB0"/>
    <w:rsid w:val="00C51EBD"/>
    <w:rsid w:val="00C53849"/>
    <w:rsid w:val="00C54170"/>
    <w:rsid w:val="00C54CF5"/>
    <w:rsid w:val="00C54D59"/>
    <w:rsid w:val="00C55787"/>
    <w:rsid w:val="00C571B2"/>
    <w:rsid w:val="00C57A62"/>
    <w:rsid w:val="00C6059F"/>
    <w:rsid w:val="00C60F30"/>
    <w:rsid w:val="00C61F0F"/>
    <w:rsid w:val="00C62099"/>
    <w:rsid w:val="00C62121"/>
    <w:rsid w:val="00C62660"/>
    <w:rsid w:val="00C67AC6"/>
    <w:rsid w:val="00C67CAE"/>
    <w:rsid w:val="00C7006E"/>
    <w:rsid w:val="00C704A9"/>
    <w:rsid w:val="00C70932"/>
    <w:rsid w:val="00C716AA"/>
    <w:rsid w:val="00C71BE1"/>
    <w:rsid w:val="00C72081"/>
    <w:rsid w:val="00C74C2C"/>
    <w:rsid w:val="00C74C66"/>
    <w:rsid w:val="00C756B9"/>
    <w:rsid w:val="00C75E81"/>
    <w:rsid w:val="00C77CCF"/>
    <w:rsid w:val="00C8351E"/>
    <w:rsid w:val="00C83B4F"/>
    <w:rsid w:val="00C85B4C"/>
    <w:rsid w:val="00C86002"/>
    <w:rsid w:val="00C86204"/>
    <w:rsid w:val="00C86225"/>
    <w:rsid w:val="00C876AC"/>
    <w:rsid w:val="00C9055F"/>
    <w:rsid w:val="00C918EF"/>
    <w:rsid w:val="00C921B9"/>
    <w:rsid w:val="00C93312"/>
    <w:rsid w:val="00C93767"/>
    <w:rsid w:val="00C93DBA"/>
    <w:rsid w:val="00C955B6"/>
    <w:rsid w:val="00C96F4B"/>
    <w:rsid w:val="00CA3B32"/>
    <w:rsid w:val="00CA45E4"/>
    <w:rsid w:val="00CA4E2C"/>
    <w:rsid w:val="00CA5D48"/>
    <w:rsid w:val="00CA669E"/>
    <w:rsid w:val="00CA6BF5"/>
    <w:rsid w:val="00CB11F7"/>
    <w:rsid w:val="00CB36E0"/>
    <w:rsid w:val="00CB3CB2"/>
    <w:rsid w:val="00CB56CD"/>
    <w:rsid w:val="00CC48A9"/>
    <w:rsid w:val="00CC7DEB"/>
    <w:rsid w:val="00CD2253"/>
    <w:rsid w:val="00CD3B9F"/>
    <w:rsid w:val="00CD4A6E"/>
    <w:rsid w:val="00CE0D3A"/>
    <w:rsid w:val="00CE19CF"/>
    <w:rsid w:val="00CE1EAA"/>
    <w:rsid w:val="00CE1FB1"/>
    <w:rsid w:val="00CF05F9"/>
    <w:rsid w:val="00CF2066"/>
    <w:rsid w:val="00CF5C92"/>
    <w:rsid w:val="00CF7A2D"/>
    <w:rsid w:val="00D00FE1"/>
    <w:rsid w:val="00D019B6"/>
    <w:rsid w:val="00D03ED4"/>
    <w:rsid w:val="00D10690"/>
    <w:rsid w:val="00D110F5"/>
    <w:rsid w:val="00D118D0"/>
    <w:rsid w:val="00D12B4B"/>
    <w:rsid w:val="00D1341E"/>
    <w:rsid w:val="00D13429"/>
    <w:rsid w:val="00D168C1"/>
    <w:rsid w:val="00D211FA"/>
    <w:rsid w:val="00D21B63"/>
    <w:rsid w:val="00D23DDD"/>
    <w:rsid w:val="00D248DD"/>
    <w:rsid w:val="00D30280"/>
    <w:rsid w:val="00D30617"/>
    <w:rsid w:val="00D31094"/>
    <w:rsid w:val="00D335F8"/>
    <w:rsid w:val="00D34B7E"/>
    <w:rsid w:val="00D37C30"/>
    <w:rsid w:val="00D42F04"/>
    <w:rsid w:val="00D440C7"/>
    <w:rsid w:val="00D46193"/>
    <w:rsid w:val="00D467A9"/>
    <w:rsid w:val="00D46EBB"/>
    <w:rsid w:val="00D47436"/>
    <w:rsid w:val="00D50356"/>
    <w:rsid w:val="00D51D64"/>
    <w:rsid w:val="00D521D3"/>
    <w:rsid w:val="00D60A3D"/>
    <w:rsid w:val="00D63E7D"/>
    <w:rsid w:val="00D64ED3"/>
    <w:rsid w:val="00D66DAF"/>
    <w:rsid w:val="00D67441"/>
    <w:rsid w:val="00D70DEA"/>
    <w:rsid w:val="00D73613"/>
    <w:rsid w:val="00D740D6"/>
    <w:rsid w:val="00D7486F"/>
    <w:rsid w:val="00D750FA"/>
    <w:rsid w:val="00D753F6"/>
    <w:rsid w:val="00D77329"/>
    <w:rsid w:val="00D77D62"/>
    <w:rsid w:val="00D801C7"/>
    <w:rsid w:val="00D806C3"/>
    <w:rsid w:val="00D806C5"/>
    <w:rsid w:val="00D82806"/>
    <w:rsid w:val="00D85DEF"/>
    <w:rsid w:val="00D86A2E"/>
    <w:rsid w:val="00D86AAB"/>
    <w:rsid w:val="00D92457"/>
    <w:rsid w:val="00D92A16"/>
    <w:rsid w:val="00D92BAE"/>
    <w:rsid w:val="00D93700"/>
    <w:rsid w:val="00D93948"/>
    <w:rsid w:val="00D975C0"/>
    <w:rsid w:val="00DA0997"/>
    <w:rsid w:val="00DA3ACE"/>
    <w:rsid w:val="00DA5D93"/>
    <w:rsid w:val="00DA646E"/>
    <w:rsid w:val="00DA77CB"/>
    <w:rsid w:val="00DB08B4"/>
    <w:rsid w:val="00DB152C"/>
    <w:rsid w:val="00DB21F0"/>
    <w:rsid w:val="00DB2F51"/>
    <w:rsid w:val="00DB4663"/>
    <w:rsid w:val="00DC12DE"/>
    <w:rsid w:val="00DC24DD"/>
    <w:rsid w:val="00DC2D9A"/>
    <w:rsid w:val="00DC42E6"/>
    <w:rsid w:val="00DC441A"/>
    <w:rsid w:val="00DC5DD9"/>
    <w:rsid w:val="00DC66DE"/>
    <w:rsid w:val="00DC6AD7"/>
    <w:rsid w:val="00DC7792"/>
    <w:rsid w:val="00DD090F"/>
    <w:rsid w:val="00DD1027"/>
    <w:rsid w:val="00DD2A20"/>
    <w:rsid w:val="00DD36D1"/>
    <w:rsid w:val="00DD4952"/>
    <w:rsid w:val="00DD5F8E"/>
    <w:rsid w:val="00DD6DEB"/>
    <w:rsid w:val="00DD7C68"/>
    <w:rsid w:val="00DE12E2"/>
    <w:rsid w:val="00DE1980"/>
    <w:rsid w:val="00DE2AB2"/>
    <w:rsid w:val="00DE41BD"/>
    <w:rsid w:val="00DE553B"/>
    <w:rsid w:val="00DE6110"/>
    <w:rsid w:val="00DF0487"/>
    <w:rsid w:val="00DF1E6E"/>
    <w:rsid w:val="00DF2E69"/>
    <w:rsid w:val="00DF43E8"/>
    <w:rsid w:val="00DF71E7"/>
    <w:rsid w:val="00DF7B04"/>
    <w:rsid w:val="00DF7BE2"/>
    <w:rsid w:val="00E0047C"/>
    <w:rsid w:val="00E025B3"/>
    <w:rsid w:val="00E03FEB"/>
    <w:rsid w:val="00E04EE5"/>
    <w:rsid w:val="00E04F62"/>
    <w:rsid w:val="00E06EB2"/>
    <w:rsid w:val="00E1139B"/>
    <w:rsid w:val="00E1243D"/>
    <w:rsid w:val="00E15A9B"/>
    <w:rsid w:val="00E15DAF"/>
    <w:rsid w:val="00E20E14"/>
    <w:rsid w:val="00E218F2"/>
    <w:rsid w:val="00E2322E"/>
    <w:rsid w:val="00E239BB"/>
    <w:rsid w:val="00E253E6"/>
    <w:rsid w:val="00E26295"/>
    <w:rsid w:val="00E2785C"/>
    <w:rsid w:val="00E30601"/>
    <w:rsid w:val="00E32A11"/>
    <w:rsid w:val="00E33EE4"/>
    <w:rsid w:val="00E34C21"/>
    <w:rsid w:val="00E35BC5"/>
    <w:rsid w:val="00E3622C"/>
    <w:rsid w:val="00E36A00"/>
    <w:rsid w:val="00E37A9F"/>
    <w:rsid w:val="00E42353"/>
    <w:rsid w:val="00E42488"/>
    <w:rsid w:val="00E51087"/>
    <w:rsid w:val="00E515EC"/>
    <w:rsid w:val="00E54130"/>
    <w:rsid w:val="00E566A9"/>
    <w:rsid w:val="00E574CE"/>
    <w:rsid w:val="00E57543"/>
    <w:rsid w:val="00E6045E"/>
    <w:rsid w:val="00E61144"/>
    <w:rsid w:val="00E62BAF"/>
    <w:rsid w:val="00E64119"/>
    <w:rsid w:val="00E66D00"/>
    <w:rsid w:val="00E7127B"/>
    <w:rsid w:val="00E7341E"/>
    <w:rsid w:val="00E74939"/>
    <w:rsid w:val="00E74BF9"/>
    <w:rsid w:val="00E76504"/>
    <w:rsid w:val="00E76B90"/>
    <w:rsid w:val="00E76D70"/>
    <w:rsid w:val="00E7785F"/>
    <w:rsid w:val="00E8062E"/>
    <w:rsid w:val="00E809A8"/>
    <w:rsid w:val="00E837C4"/>
    <w:rsid w:val="00E839C9"/>
    <w:rsid w:val="00E878F4"/>
    <w:rsid w:val="00E910F9"/>
    <w:rsid w:val="00E937A7"/>
    <w:rsid w:val="00E93A63"/>
    <w:rsid w:val="00E958EA"/>
    <w:rsid w:val="00EA1F58"/>
    <w:rsid w:val="00EA2B27"/>
    <w:rsid w:val="00EA3B1A"/>
    <w:rsid w:val="00EA3C5C"/>
    <w:rsid w:val="00EA3D0F"/>
    <w:rsid w:val="00EA522A"/>
    <w:rsid w:val="00EA5460"/>
    <w:rsid w:val="00EA5BE5"/>
    <w:rsid w:val="00EB1DC4"/>
    <w:rsid w:val="00EB59A5"/>
    <w:rsid w:val="00EB79D1"/>
    <w:rsid w:val="00EC0A9D"/>
    <w:rsid w:val="00EC30C1"/>
    <w:rsid w:val="00EC336B"/>
    <w:rsid w:val="00EC35AB"/>
    <w:rsid w:val="00EC48C4"/>
    <w:rsid w:val="00EC59E3"/>
    <w:rsid w:val="00EC7A5D"/>
    <w:rsid w:val="00EC7A87"/>
    <w:rsid w:val="00ED0500"/>
    <w:rsid w:val="00ED081D"/>
    <w:rsid w:val="00ED2A9D"/>
    <w:rsid w:val="00ED3A7B"/>
    <w:rsid w:val="00ED5D0D"/>
    <w:rsid w:val="00ED6676"/>
    <w:rsid w:val="00ED6DC6"/>
    <w:rsid w:val="00ED744E"/>
    <w:rsid w:val="00EE3AC1"/>
    <w:rsid w:val="00EE4419"/>
    <w:rsid w:val="00EE460D"/>
    <w:rsid w:val="00EE6190"/>
    <w:rsid w:val="00EE7B47"/>
    <w:rsid w:val="00EF24AF"/>
    <w:rsid w:val="00EF31EE"/>
    <w:rsid w:val="00EF61D4"/>
    <w:rsid w:val="00F01EDB"/>
    <w:rsid w:val="00F0343D"/>
    <w:rsid w:val="00F0344F"/>
    <w:rsid w:val="00F036AC"/>
    <w:rsid w:val="00F04113"/>
    <w:rsid w:val="00F04768"/>
    <w:rsid w:val="00F05135"/>
    <w:rsid w:val="00F0602D"/>
    <w:rsid w:val="00F07F40"/>
    <w:rsid w:val="00F1795C"/>
    <w:rsid w:val="00F20C10"/>
    <w:rsid w:val="00F215FB"/>
    <w:rsid w:val="00F222C5"/>
    <w:rsid w:val="00F27F55"/>
    <w:rsid w:val="00F31DE3"/>
    <w:rsid w:val="00F32A67"/>
    <w:rsid w:val="00F32AD1"/>
    <w:rsid w:val="00F36BEC"/>
    <w:rsid w:val="00F42106"/>
    <w:rsid w:val="00F439E4"/>
    <w:rsid w:val="00F44C03"/>
    <w:rsid w:val="00F47DAC"/>
    <w:rsid w:val="00F515F5"/>
    <w:rsid w:val="00F52464"/>
    <w:rsid w:val="00F525E6"/>
    <w:rsid w:val="00F5344D"/>
    <w:rsid w:val="00F53607"/>
    <w:rsid w:val="00F552C1"/>
    <w:rsid w:val="00F56C92"/>
    <w:rsid w:val="00F570A2"/>
    <w:rsid w:val="00F57D11"/>
    <w:rsid w:val="00F57D7B"/>
    <w:rsid w:val="00F60011"/>
    <w:rsid w:val="00F61472"/>
    <w:rsid w:val="00F64134"/>
    <w:rsid w:val="00F641BB"/>
    <w:rsid w:val="00F64851"/>
    <w:rsid w:val="00F6492F"/>
    <w:rsid w:val="00F64EC8"/>
    <w:rsid w:val="00F65F0E"/>
    <w:rsid w:val="00F65F0F"/>
    <w:rsid w:val="00F706A9"/>
    <w:rsid w:val="00F73B8A"/>
    <w:rsid w:val="00F75D95"/>
    <w:rsid w:val="00F75E63"/>
    <w:rsid w:val="00F8007B"/>
    <w:rsid w:val="00F82561"/>
    <w:rsid w:val="00F859F1"/>
    <w:rsid w:val="00F86F31"/>
    <w:rsid w:val="00F922E3"/>
    <w:rsid w:val="00F967DC"/>
    <w:rsid w:val="00FA11A8"/>
    <w:rsid w:val="00FA19E4"/>
    <w:rsid w:val="00FA2149"/>
    <w:rsid w:val="00FA2EAB"/>
    <w:rsid w:val="00FA4AE3"/>
    <w:rsid w:val="00FA6D3D"/>
    <w:rsid w:val="00FB17F3"/>
    <w:rsid w:val="00FB3109"/>
    <w:rsid w:val="00FB5006"/>
    <w:rsid w:val="00FB5257"/>
    <w:rsid w:val="00FB5692"/>
    <w:rsid w:val="00FC27B0"/>
    <w:rsid w:val="00FC5A80"/>
    <w:rsid w:val="00FC60BA"/>
    <w:rsid w:val="00FC6C12"/>
    <w:rsid w:val="00FD0225"/>
    <w:rsid w:val="00FD6D9B"/>
    <w:rsid w:val="00FD77DB"/>
    <w:rsid w:val="00FD79D4"/>
    <w:rsid w:val="00FE070B"/>
    <w:rsid w:val="00FE26F3"/>
    <w:rsid w:val="00FE28D0"/>
    <w:rsid w:val="00FE3334"/>
    <w:rsid w:val="00FE3C40"/>
    <w:rsid w:val="00FE3C44"/>
    <w:rsid w:val="00FE3C62"/>
    <w:rsid w:val="00FE438F"/>
    <w:rsid w:val="00FE586D"/>
    <w:rsid w:val="00FE6996"/>
    <w:rsid w:val="00FF3920"/>
    <w:rsid w:val="00FF6CE7"/>
    <w:rsid w:val="00FF729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BD38C89"/>
  <w15:docId w15:val="{CD1AD368-1897-4143-9EB6-59C608BE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86A"/>
  </w:style>
  <w:style w:type="paragraph" w:styleId="Heading1">
    <w:name w:val="heading 1"/>
    <w:basedOn w:val="Normal"/>
    <w:next w:val="Normal"/>
    <w:link w:val="Heading1Char"/>
    <w:uiPriority w:val="1"/>
    <w:qFormat/>
    <w:rsid w:val="00AD36F6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D36F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50D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6350D"/>
    <w:rPr>
      <w:rFonts w:eastAsiaTheme="majorEastAsia" w:cstheme="majorBidi"/>
      <w:b/>
      <w:bCs/>
      <w:kern w:val="28"/>
      <w:sz w:val="32"/>
      <w:szCs w:val="32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F86F31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C85B4C"/>
    <w:pPr>
      <w:tabs>
        <w:tab w:val="left" w:pos="1559"/>
        <w:tab w:val="right" w:leader="dot" w:pos="9639"/>
      </w:tabs>
      <w:spacing w:after="60"/>
      <w:ind w:left="1985" w:hanging="851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F86F31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F86F31"/>
    <w:pPr>
      <w:spacing w:after="120"/>
    </w:pPr>
  </w:style>
  <w:style w:type="paragraph" w:styleId="ListBullet">
    <w:name w:val="List Bullet"/>
    <w:basedOn w:val="Normal"/>
    <w:uiPriority w:val="99"/>
    <w:rsid w:val="00F86F31"/>
    <w:pPr>
      <w:spacing w:after="120"/>
    </w:pPr>
  </w:style>
  <w:style w:type="paragraph" w:styleId="ListBullet3">
    <w:name w:val="List Bullet 3"/>
    <w:basedOn w:val="Normal"/>
    <w:uiPriority w:val="99"/>
    <w:rsid w:val="00F86F31"/>
    <w:p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F86F31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F86F31"/>
    <w:pPr>
      <w:numPr>
        <w:numId w:val="3"/>
      </w:numPr>
    </w:pPr>
  </w:style>
  <w:style w:type="paragraph" w:styleId="ListBullet4">
    <w:name w:val="List Bullet 4"/>
    <w:basedOn w:val="Normal"/>
    <w:uiPriority w:val="99"/>
    <w:rsid w:val="00F86F31"/>
    <w:pPr>
      <w:spacing w:after="120"/>
    </w:pPr>
  </w:style>
  <w:style w:type="paragraph" w:styleId="ListBullet5">
    <w:name w:val="List Bullet 5"/>
    <w:basedOn w:val="Normal"/>
    <w:uiPriority w:val="99"/>
    <w:rsid w:val="00F86F31"/>
  </w:style>
  <w:style w:type="paragraph" w:styleId="ListNumber">
    <w:name w:val="List Number"/>
    <w:basedOn w:val="Normal"/>
    <w:uiPriority w:val="99"/>
    <w:qFormat/>
    <w:rsid w:val="00F86F31"/>
    <w:pPr>
      <w:numPr>
        <w:numId w:val="6"/>
      </w:numPr>
      <w:spacing w:after="120"/>
    </w:pPr>
  </w:style>
  <w:style w:type="paragraph" w:styleId="ListNumber2">
    <w:name w:val="List Number 2"/>
    <w:basedOn w:val="Normal"/>
    <w:uiPriority w:val="99"/>
    <w:rsid w:val="00F86F31"/>
    <w:pPr>
      <w:numPr>
        <w:ilvl w:val="1"/>
        <w:numId w:val="6"/>
      </w:numPr>
      <w:spacing w:after="120"/>
    </w:pPr>
  </w:style>
  <w:style w:type="paragraph" w:styleId="ListNumber3">
    <w:name w:val="List Number 3"/>
    <w:basedOn w:val="Normal"/>
    <w:uiPriority w:val="99"/>
    <w:rsid w:val="00F86F31"/>
    <w:pPr>
      <w:numPr>
        <w:ilvl w:val="2"/>
        <w:numId w:val="6"/>
      </w:numPr>
      <w:spacing w:after="120"/>
    </w:pPr>
  </w:style>
  <w:style w:type="paragraph" w:styleId="ListNumber4">
    <w:name w:val="List Number 4"/>
    <w:basedOn w:val="Normal"/>
    <w:uiPriority w:val="99"/>
    <w:rsid w:val="00F86F31"/>
    <w:pPr>
      <w:numPr>
        <w:ilvl w:val="3"/>
        <w:numId w:val="6"/>
      </w:numPr>
      <w:spacing w:after="120"/>
    </w:pPr>
  </w:style>
  <w:style w:type="paragraph" w:styleId="ListNumber5">
    <w:name w:val="List Number 5"/>
    <w:basedOn w:val="Normal"/>
    <w:uiPriority w:val="99"/>
    <w:rsid w:val="00F86F31"/>
    <w:pPr>
      <w:numPr>
        <w:ilvl w:val="4"/>
        <w:numId w:val="6"/>
      </w:num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86F31"/>
    <w:pPr>
      <w:numPr>
        <w:numId w:val="8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F86F31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F86F31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F86F31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F86F31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F86F31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F86F31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F86F31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F86F31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86F31"/>
    <w:pPr>
      <w:numPr>
        <w:numId w:val="7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F86F31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F86F31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F86F31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F86F31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F86F31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F86F31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F86F31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F86F31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1C207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F7E04"/>
    <w:pPr>
      <w:spacing w:after="80"/>
    </w:pPr>
    <w:rPr>
      <w:rFonts w:ascii="Arial Bold" w:hAnsi="Arial Bold"/>
      <w:b/>
      <w:iCs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2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2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2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2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3C40"/>
    <w:pPr>
      <w:spacing w:after="0"/>
    </w:pPr>
  </w:style>
  <w:style w:type="paragraph" w:customStyle="1" w:styleId="Default">
    <w:name w:val="Default"/>
    <w:rsid w:val="00DC7792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Bullet1">
    <w:name w:val="Bullet 1"/>
    <w:uiPriority w:val="2"/>
    <w:qFormat/>
    <w:rsid w:val="00EE7B47"/>
    <w:pPr>
      <w:numPr>
        <w:numId w:val="21"/>
      </w:numPr>
      <w:spacing w:before="160" w:after="0"/>
      <w:contextualSpacing/>
    </w:pPr>
    <w:rPr>
      <w:rFonts w:asciiTheme="minorHAnsi" w:eastAsia="Times New Roman" w:hAnsiTheme="minorHAnsi" w:cs="Calibri"/>
      <w:spacing w:val="2"/>
      <w:sz w:val="18"/>
      <w:szCs w:val="20"/>
      <w:lang w:eastAsia="en-AU"/>
    </w:rPr>
  </w:style>
  <w:style w:type="paragraph" w:customStyle="1" w:styleId="Bullet2">
    <w:name w:val="Bullet 2"/>
    <w:basedOn w:val="Bullet1"/>
    <w:uiPriority w:val="2"/>
    <w:qFormat/>
    <w:rsid w:val="00EE7B47"/>
    <w:pPr>
      <w:numPr>
        <w:ilvl w:val="1"/>
      </w:numPr>
      <w:spacing w:before="0"/>
    </w:pPr>
  </w:style>
  <w:style w:type="paragraph" w:customStyle="1" w:styleId="Bulletindent">
    <w:name w:val="Bullet indent"/>
    <w:basedOn w:val="Bullet2"/>
    <w:uiPriority w:val="7"/>
    <w:qFormat/>
    <w:rsid w:val="00EE7B47"/>
    <w:pPr>
      <w:numPr>
        <w:ilvl w:val="2"/>
      </w:numPr>
    </w:pPr>
  </w:style>
  <w:style w:type="paragraph" w:customStyle="1" w:styleId="Bulletindent2">
    <w:name w:val="Bullet indent 2"/>
    <w:basedOn w:val="Normal"/>
    <w:uiPriority w:val="7"/>
    <w:qFormat/>
    <w:rsid w:val="00EE7B47"/>
    <w:pPr>
      <w:numPr>
        <w:ilvl w:val="3"/>
        <w:numId w:val="21"/>
      </w:numPr>
      <w:spacing w:before="100" w:after="100" w:line="276" w:lineRule="auto"/>
      <w:contextualSpacing/>
    </w:pPr>
    <w:rPr>
      <w:rFonts w:asciiTheme="minorHAnsi" w:eastAsiaTheme="minorEastAsia" w:hAnsiTheme="minorHAnsi" w:cstheme="minorBidi"/>
      <w:spacing w:val="2"/>
      <w:sz w:val="18"/>
      <w:szCs w:val="20"/>
      <w:lang w:eastAsia="en-AU"/>
    </w:rPr>
  </w:style>
  <w:style w:type="paragraph" w:customStyle="1" w:styleId="Bullet1grey">
    <w:name w:val="Bullet 1 grey"/>
    <w:basedOn w:val="Bullet1"/>
    <w:uiPriority w:val="3"/>
    <w:qFormat/>
    <w:rsid w:val="00EE7B47"/>
    <w:rPr>
      <w:color w:val="4D4D4D"/>
      <w:szCs w:val="18"/>
      <w:lang w:eastAsia="en-US"/>
    </w:rPr>
  </w:style>
  <w:style w:type="paragraph" w:customStyle="1" w:styleId="Bullet2grey">
    <w:name w:val="Bullet 2 grey"/>
    <w:basedOn w:val="Bullet2"/>
    <w:uiPriority w:val="3"/>
    <w:qFormat/>
    <w:rsid w:val="00EE7B47"/>
    <w:pPr>
      <w:numPr>
        <w:ilvl w:val="0"/>
        <w:numId w:val="0"/>
      </w:numPr>
      <w:ind w:left="567" w:hanging="283"/>
    </w:pPr>
    <w:rPr>
      <w:color w:val="4D4D4D"/>
      <w:szCs w:val="21"/>
      <w:lang w:eastAsia="en-US"/>
    </w:rPr>
  </w:style>
  <w:style w:type="table" w:styleId="PlainTable1">
    <w:name w:val="Plain Table 1"/>
    <w:basedOn w:val="TableNormal"/>
    <w:uiPriority w:val="41"/>
    <w:rsid w:val="0060515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60515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0515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6">
    <w:name w:val="Grid Table 3 Accent 6"/>
    <w:basedOn w:val="TableNormal"/>
    <w:uiPriority w:val="48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60515E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E091A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C1B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43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995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E3D30-1A79-4E52-AAA8-3F98E8531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document:  Northern Territory tax equivalent regime and dividend policy</vt:lpstr>
    </vt:vector>
  </TitlesOfParts>
  <Company>Northern Territory Government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document:  Northern Territory tax equivalent regime and dividend policy</dc:title>
  <dc:subject/>
  <dc:creator>Financial Managment Group</dc:creator>
  <cp:keywords/>
  <dc:description/>
  <cp:lastModifiedBy>Donna Moore</cp:lastModifiedBy>
  <cp:revision>2</cp:revision>
  <cp:lastPrinted>2019-03-28T23:57:00Z</cp:lastPrinted>
  <dcterms:created xsi:type="dcterms:W3CDTF">2019-05-22T01:45:00Z</dcterms:created>
  <dcterms:modified xsi:type="dcterms:W3CDTF">2019-05-22T01:45:00Z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1 July 2019</vt:lpwstr>
  </property>
  <property fmtid="{D5CDD505-2E9C-101B-9397-08002B2CF9AE}" pid="3" name="VersionNo">
    <vt:lpwstr>1.0</vt:lpwstr>
  </property>
  <property fmtid="{D5CDD505-2E9C-101B-9397-08002B2CF9AE}" pid="4" name="DocumentAuthor">
    <vt:lpwstr>DTF Financial Policy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